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476"/>
        <w:gridCol w:w="6907"/>
        <w:gridCol w:w="2931"/>
      </w:tblGrid>
      <w:tr w:rsidR="00A80767" w:rsidRPr="00E87F6F" w14:paraId="30A78839" w14:textId="77777777" w:rsidTr="00936CD8">
        <w:trPr>
          <w:trHeight w:val="282"/>
        </w:trPr>
        <w:tc>
          <w:tcPr>
            <w:tcW w:w="476" w:type="dxa"/>
            <w:vMerge w:val="restart"/>
            <w:tcBorders>
              <w:bottom w:val="nil"/>
            </w:tcBorders>
            <w:textDirection w:val="btLr"/>
          </w:tcPr>
          <w:p w14:paraId="63ADA05D" w14:textId="77777777" w:rsidR="00A80767" w:rsidRPr="00936CD8"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lang w:eastAsia="zh-CN"/>
              </w:rPr>
            </w:pPr>
            <w:r w:rsidRPr="00936CD8">
              <w:rPr>
                <w:color w:val="365F91" w:themeColor="accent1" w:themeShade="BF"/>
                <w:sz w:val="10"/>
                <w:szCs w:val="10"/>
                <w:lang w:eastAsia="zh-CN"/>
              </w:rPr>
              <w:t>WEATHER CLIMATE WATER</w:t>
            </w:r>
          </w:p>
        </w:tc>
        <w:tc>
          <w:tcPr>
            <w:tcW w:w="6907" w:type="dxa"/>
            <w:vMerge w:val="restart"/>
          </w:tcPr>
          <w:p w14:paraId="16EE056D" w14:textId="77777777" w:rsidR="00A80767" w:rsidRPr="00E87F6F" w:rsidRDefault="00A80767" w:rsidP="00826D53">
            <w:pPr>
              <w:tabs>
                <w:tab w:val="left" w:pos="6946"/>
              </w:tabs>
              <w:suppressAutoHyphens/>
              <w:spacing w:after="120" w:line="252" w:lineRule="auto"/>
              <w:ind w:left="1134"/>
              <w:jc w:val="left"/>
              <w:rPr>
                <w:rFonts w:cs="Tahoma"/>
                <w:b/>
                <w:bCs/>
                <w:color w:val="365F91" w:themeColor="accent1" w:themeShade="BF"/>
              </w:rPr>
            </w:pPr>
            <w:r w:rsidRPr="00E87F6F">
              <w:rPr>
                <w:noProof/>
                <w:color w:val="365F91" w:themeColor="accent1" w:themeShade="BF"/>
                <w:lang w:eastAsia="zh-CN"/>
              </w:rPr>
              <w:drawing>
                <wp:anchor distT="0" distB="0" distL="114300" distR="114300" simplePos="0" relativeHeight="251658240" behindDoc="1" locked="1" layoutInCell="1" allowOverlap="1" wp14:anchorId="457F15FC" wp14:editId="377B4834">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045" w:rsidRPr="00E87F6F">
              <w:rPr>
                <w:rFonts w:cs="Tahoma"/>
                <w:b/>
                <w:bCs/>
                <w:color w:val="365F91" w:themeColor="accent1" w:themeShade="BF"/>
              </w:rPr>
              <w:t>World Meteorological Organization</w:t>
            </w:r>
          </w:p>
          <w:p w14:paraId="4452E0D1" w14:textId="77777777" w:rsidR="00A80767" w:rsidRPr="00E87F6F" w:rsidRDefault="00EA5045" w:rsidP="00826D53">
            <w:pPr>
              <w:tabs>
                <w:tab w:val="left" w:pos="6946"/>
              </w:tabs>
              <w:suppressAutoHyphens/>
              <w:spacing w:after="120" w:line="252" w:lineRule="auto"/>
              <w:ind w:left="1134"/>
              <w:jc w:val="left"/>
              <w:rPr>
                <w:rFonts w:cs="Tahoma"/>
                <w:b/>
                <w:color w:val="365F91" w:themeColor="accent1" w:themeShade="BF"/>
                <w:spacing w:val="-2"/>
              </w:rPr>
            </w:pPr>
            <w:r w:rsidRPr="00E87F6F">
              <w:rPr>
                <w:rFonts w:cs="Tahoma"/>
                <w:b/>
                <w:color w:val="365F91" w:themeColor="accent1" w:themeShade="BF"/>
                <w:spacing w:val="-2"/>
              </w:rPr>
              <w:t>EXECUTIVE COUNCIL</w:t>
            </w:r>
          </w:p>
          <w:p w14:paraId="3A8790EF" w14:textId="77777777" w:rsidR="00A80767" w:rsidRPr="00E87F6F" w:rsidRDefault="00EA5045" w:rsidP="00826D53">
            <w:pPr>
              <w:tabs>
                <w:tab w:val="left" w:pos="6946"/>
              </w:tabs>
              <w:suppressAutoHyphens/>
              <w:spacing w:after="120" w:line="252" w:lineRule="auto"/>
              <w:ind w:left="1134"/>
              <w:jc w:val="left"/>
              <w:rPr>
                <w:rFonts w:cs="Tahoma"/>
                <w:b/>
                <w:bCs/>
                <w:color w:val="365F91" w:themeColor="accent1" w:themeShade="BF"/>
              </w:rPr>
            </w:pPr>
            <w:r w:rsidRPr="00E87F6F">
              <w:rPr>
                <w:rFonts w:cstheme="minorBidi"/>
                <w:b/>
                <w:snapToGrid w:val="0"/>
                <w:color w:val="365F91" w:themeColor="accent1" w:themeShade="BF"/>
              </w:rPr>
              <w:t>Seventy-Ninth Session</w:t>
            </w:r>
            <w:r w:rsidR="00A80767" w:rsidRPr="00E87F6F">
              <w:rPr>
                <w:rFonts w:cstheme="minorBidi"/>
                <w:b/>
                <w:snapToGrid w:val="0"/>
                <w:color w:val="365F91" w:themeColor="accent1" w:themeShade="BF"/>
              </w:rPr>
              <w:br/>
            </w:r>
            <w:r w:rsidRPr="00E87F6F">
              <w:rPr>
                <w:snapToGrid w:val="0"/>
                <w:color w:val="365F91" w:themeColor="accent1" w:themeShade="BF"/>
              </w:rPr>
              <w:t>16 to 20 June 2025, Geneva</w:t>
            </w:r>
          </w:p>
        </w:tc>
        <w:tc>
          <w:tcPr>
            <w:tcW w:w="2931" w:type="dxa"/>
          </w:tcPr>
          <w:p w14:paraId="7DD006F3" w14:textId="77777777" w:rsidR="00A80767" w:rsidRPr="00E87F6F" w:rsidRDefault="00EA5045" w:rsidP="00826D53">
            <w:pPr>
              <w:tabs>
                <w:tab w:val="clear" w:pos="1134"/>
              </w:tabs>
              <w:spacing w:after="60"/>
              <w:ind w:right="-108"/>
              <w:jc w:val="right"/>
              <w:rPr>
                <w:rFonts w:cs="Tahoma"/>
                <w:b/>
                <w:bCs/>
                <w:color w:val="365F91" w:themeColor="accent1" w:themeShade="BF"/>
                <w:lang w:val="fr-FR"/>
              </w:rPr>
            </w:pPr>
            <w:r w:rsidRPr="00E87F6F">
              <w:rPr>
                <w:rFonts w:cs="Tahoma"/>
                <w:b/>
                <w:bCs/>
                <w:color w:val="365F91" w:themeColor="accent1" w:themeShade="BF"/>
                <w:lang w:val="fr-FR"/>
              </w:rPr>
              <w:t>EC-79/INF. 8.5(1)</w:t>
            </w:r>
          </w:p>
        </w:tc>
      </w:tr>
      <w:tr w:rsidR="00A80767" w:rsidRPr="00E87F6F" w14:paraId="7E77EA71" w14:textId="77777777" w:rsidTr="00936CD8">
        <w:trPr>
          <w:trHeight w:val="730"/>
        </w:trPr>
        <w:tc>
          <w:tcPr>
            <w:tcW w:w="476" w:type="dxa"/>
            <w:vMerge/>
          </w:tcPr>
          <w:p w14:paraId="2621B492" w14:textId="77777777" w:rsidR="00A80767" w:rsidRPr="00E87F6F" w:rsidRDefault="00A80767" w:rsidP="00826D53">
            <w:pPr>
              <w:tabs>
                <w:tab w:val="left" w:pos="6946"/>
              </w:tabs>
              <w:suppressAutoHyphens/>
              <w:spacing w:after="120" w:line="252" w:lineRule="auto"/>
              <w:ind w:left="1134"/>
              <w:jc w:val="left"/>
              <w:rPr>
                <w:color w:val="365F91" w:themeColor="accent1" w:themeShade="BF"/>
                <w:lang w:val="fr-FR" w:eastAsia="zh-CN"/>
              </w:rPr>
            </w:pPr>
          </w:p>
        </w:tc>
        <w:tc>
          <w:tcPr>
            <w:tcW w:w="6907" w:type="dxa"/>
            <w:vMerge/>
          </w:tcPr>
          <w:p w14:paraId="761911EA" w14:textId="77777777" w:rsidR="00A80767" w:rsidRPr="00E87F6F" w:rsidRDefault="00A80767" w:rsidP="00826D53">
            <w:pPr>
              <w:tabs>
                <w:tab w:val="left" w:pos="6946"/>
              </w:tabs>
              <w:suppressAutoHyphens/>
              <w:spacing w:after="120" w:line="252" w:lineRule="auto"/>
              <w:ind w:left="1134"/>
              <w:jc w:val="left"/>
              <w:rPr>
                <w:color w:val="365F91" w:themeColor="accent1" w:themeShade="BF"/>
                <w:lang w:val="fr-FR" w:eastAsia="zh-CN"/>
              </w:rPr>
            </w:pPr>
          </w:p>
        </w:tc>
        <w:tc>
          <w:tcPr>
            <w:tcW w:w="2931" w:type="dxa"/>
          </w:tcPr>
          <w:p w14:paraId="3AD125C9" w14:textId="77777777" w:rsidR="00A80767" w:rsidRPr="00E87F6F" w:rsidRDefault="00A80767" w:rsidP="00826D53">
            <w:pPr>
              <w:tabs>
                <w:tab w:val="clear" w:pos="1134"/>
              </w:tabs>
              <w:spacing w:before="120" w:after="60"/>
              <w:ind w:right="-108"/>
              <w:jc w:val="right"/>
              <w:rPr>
                <w:rFonts w:cs="Tahoma"/>
                <w:color w:val="365F91" w:themeColor="accent1" w:themeShade="BF"/>
              </w:rPr>
            </w:pPr>
            <w:r w:rsidRPr="00E87F6F">
              <w:rPr>
                <w:rFonts w:cs="Tahoma"/>
                <w:color w:val="365F91" w:themeColor="accent1" w:themeShade="BF"/>
              </w:rPr>
              <w:t>Submitted by:</w:t>
            </w:r>
            <w:r w:rsidRPr="00E87F6F">
              <w:rPr>
                <w:rFonts w:cs="Tahoma"/>
                <w:color w:val="365F91" w:themeColor="accent1" w:themeShade="BF"/>
              </w:rPr>
              <w:br/>
            </w:r>
            <w:r w:rsidR="007C3991">
              <w:rPr>
                <w:rFonts w:cs="Tahoma"/>
                <w:color w:val="365F91" w:themeColor="accent1" w:themeShade="BF"/>
              </w:rPr>
              <w:t>Chair of the Audit and Oversight Committee</w:t>
            </w:r>
            <w:r w:rsidRPr="00E87F6F">
              <w:rPr>
                <w:rFonts w:cs="Tahoma"/>
                <w:color w:val="365F91" w:themeColor="accent1" w:themeShade="BF"/>
              </w:rPr>
              <w:t xml:space="preserve"> </w:t>
            </w:r>
          </w:p>
          <w:p w14:paraId="04A35987" w14:textId="77777777" w:rsidR="00A80767" w:rsidRPr="00E87F6F" w:rsidRDefault="007C3991" w:rsidP="00826D53">
            <w:pPr>
              <w:tabs>
                <w:tab w:val="clear" w:pos="1134"/>
              </w:tabs>
              <w:spacing w:before="120" w:after="60"/>
              <w:ind w:right="-108"/>
              <w:jc w:val="right"/>
              <w:rPr>
                <w:rFonts w:cs="Tahoma"/>
                <w:color w:val="365F91" w:themeColor="accent1" w:themeShade="BF"/>
              </w:rPr>
            </w:pPr>
            <w:r>
              <w:rPr>
                <w:rFonts w:cs="Tahoma"/>
                <w:color w:val="365F91" w:themeColor="accent1" w:themeShade="BF"/>
              </w:rPr>
              <w:t>15</w:t>
            </w:r>
            <w:r w:rsidR="00EA5045" w:rsidRPr="00E87F6F">
              <w:rPr>
                <w:rFonts w:cs="Tahoma"/>
                <w:color w:val="365F91" w:themeColor="accent1" w:themeShade="BF"/>
              </w:rPr>
              <w:t>.</w:t>
            </w:r>
            <w:r>
              <w:rPr>
                <w:rFonts w:cs="Tahoma"/>
                <w:color w:val="365F91" w:themeColor="accent1" w:themeShade="BF"/>
              </w:rPr>
              <w:t>V</w:t>
            </w:r>
            <w:r w:rsidR="00EA5045" w:rsidRPr="00E87F6F">
              <w:rPr>
                <w:rFonts w:cs="Tahoma"/>
                <w:color w:val="365F91" w:themeColor="accent1" w:themeShade="BF"/>
              </w:rPr>
              <w:t>.2025</w:t>
            </w:r>
          </w:p>
          <w:p w14:paraId="09AE4ACA" w14:textId="77777777" w:rsidR="00A80767" w:rsidRPr="00E87F6F" w:rsidRDefault="00A80767" w:rsidP="00826D53">
            <w:pPr>
              <w:tabs>
                <w:tab w:val="clear" w:pos="1134"/>
              </w:tabs>
              <w:spacing w:before="120" w:after="60"/>
              <w:ind w:right="-108"/>
              <w:jc w:val="right"/>
              <w:rPr>
                <w:rFonts w:cs="Tahoma"/>
                <w:b/>
                <w:bCs/>
                <w:color w:val="365F91" w:themeColor="accent1" w:themeShade="BF"/>
              </w:rPr>
            </w:pPr>
          </w:p>
        </w:tc>
      </w:tr>
    </w:tbl>
    <w:p w14:paraId="5969E0B1" w14:textId="77777777" w:rsidR="00327D93" w:rsidRPr="00E87F6F" w:rsidRDefault="00327D93" w:rsidP="00327D93">
      <w:pPr>
        <w:pStyle w:val="Heading2"/>
        <w:rPr>
          <w:sz w:val="20"/>
          <w:szCs w:val="20"/>
        </w:rPr>
      </w:pPr>
      <w:r w:rsidRPr="00E87F6F">
        <w:rPr>
          <w:sz w:val="20"/>
          <w:szCs w:val="20"/>
        </w:rPr>
        <w:t>REPORT BY THE CHAIR OF THE AUDIT AND OVERSIGHT COMMITTEE</w:t>
      </w:r>
    </w:p>
    <w:p w14:paraId="4DDDD904" w14:textId="77777777" w:rsidR="00327D93" w:rsidRPr="00E87F6F" w:rsidRDefault="00327D93" w:rsidP="00327D93">
      <w:pPr>
        <w:pStyle w:val="Heading3"/>
      </w:pPr>
      <w:r w:rsidRPr="00E87F6F">
        <w:t>Membership</w:t>
      </w:r>
    </w:p>
    <w:p w14:paraId="52DB4BD0" w14:textId="77777777" w:rsidR="00327D93" w:rsidRPr="00E87F6F" w:rsidRDefault="00327D93" w:rsidP="4016F77D">
      <w:pPr>
        <w:pStyle w:val="WMOBodyText"/>
        <w:numPr>
          <w:ilvl w:val="0"/>
          <w:numId w:val="1"/>
        </w:numPr>
        <w:tabs>
          <w:tab w:val="left" w:pos="567"/>
        </w:tabs>
        <w:ind w:left="0" w:firstLine="0"/>
      </w:pPr>
      <w:r>
        <w:t xml:space="preserve">The terms of reference of the Audit and Oversight Committee (AOC) are included in </w:t>
      </w:r>
      <w:hyperlink r:id="rId14" w:anchor="page=88">
        <w:r w:rsidRPr="4016F77D">
          <w:rPr>
            <w:rStyle w:val="Hyperlink"/>
          </w:rPr>
          <w:t>Resolution 17 (EC-72)</w:t>
        </w:r>
      </w:hyperlink>
      <w:r>
        <w:t xml:space="preserve">. Its present membership was established through </w:t>
      </w:r>
      <w:hyperlink r:id="rId15" w:anchor="page=543">
        <w:r w:rsidRPr="4016F77D">
          <w:rPr>
            <w:rStyle w:val="Hyperlink"/>
          </w:rPr>
          <w:t>Decision 16 (EC-78)</w:t>
        </w:r>
      </w:hyperlink>
      <w:r>
        <w:t xml:space="preserve"> and currently </w:t>
      </w:r>
      <w:r w:rsidR="009B0312">
        <w:t>comprises</w:t>
      </w:r>
      <w:r>
        <w:t xml:space="preserve"> Mr H</w:t>
      </w:r>
      <w:r w:rsidR="30444340">
        <w:t>ock-Chye</w:t>
      </w:r>
      <w:r>
        <w:t xml:space="preserve"> Ong (Malaysia, </w:t>
      </w:r>
      <w:r w:rsidR="0790ADCE">
        <w:t xml:space="preserve">incoming </w:t>
      </w:r>
      <w:r>
        <w:t xml:space="preserve">Chair), </w:t>
      </w:r>
      <w:r w:rsidR="49168D69">
        <w:t>Mr J</w:t>
      </w:r>
      <w:r w:rsidR="6C657E7C">
        <w:t>ose</w:t>
      </w:r>
      <w:r w:rsidR="49168D69">
        <w:t xml:space="preserve"> Mendez (Costa Rica, Vice-Chair), </w:t>
      </w:r>
      <w:r>
        <w:t>Ms C</w:t>
      </w:r>
      <w:r w:rsidR="04D1553D">
        <w:t>arol</w:t>
      </w:r>
      <w:r>
        <w:t xml:space="preserve"> Najm (Canada</w:t>
      </w:r>
      <w:r w:rsidR="20BCD9EF">
        <w:t>, ou</w:t>
      </w:r>
      <w:r w:rsidR="7D12DA32">
        <w:t>t</w:t>
      </w:r>
      <w:r w:rsidR="20BCD9EF">
        <w:t>going Chair</w:t>
      </w:r>
      <w:r>
        <w:t>), Mr S</w:t>
      </w:r>
      <w:r w:rsidR="31B04150">
        <w:t>tamati</w:t>
      </w:r>
      <w:r w:rsidR="047A5CF4">
        <w:t>o</w:t>
      </w:r>
      <w:r w:rsidR="31B04150">
        <w:t>s</w:t>
      </w:r>
      <w:r>
        <w:t xml:space="preserve"> Anthis (Greece), Ms Renis O</w:t>
      </w:r>
      <w:r w:rsidR="68D053D1">
        <w:t>nguka</w:t>
      </w:r>
      <w:r>
        <w:t xml:space="preserve"> (Kenya), Ms Purnima Mishra (India) and Mr Roberto Fernandez (Argentina).</w:t>
      </w:r>
      <w:r w:rsidR="55CF0E5E">
        <w:t xml:space="preserve"> </w:t>
      </w:r>
      <w:r w:rsidR="444A6AD0">
        <w:t>The AOC</w:t>
      </w:r>
      <w:r w:rsidR="4F91D23F">
        <w:t xml:space="preserve"> </w:t>
      </w:r>
      <w:r w:rsidR="55CF0E5E">
        <w:t xml:space="preserve">conveyed appreciation </w:t>
      </w:r>
      <w:r w:rsidR="5685488A">
        <w:t xml:space="preserve">to Ms Najm </w:t>
      </w:r>
      <w:r w:rsidR="2F0B576B">
        <w:t xml:space="preserve">for services rendered </w:t>
      </w:r>
      <w:r w:rsidR="1F2583D5">
        <w:t>to</w:t>
      </w:r>
      <w:r w:rsidR="2F0B576B">
        <w:t xml:space="preserve"> the Committee </w:t>
      </w:r>
      <w:r w:rsidR="4D4A8C36">
        <w:t xml:space="preserve">upon completing her </w:t>
      </w:r>
      <w:r w:rsidR="3589AEDB">
        <w:t xml:space="preserve">tenure </w:t>
      </w:r>
      <w:r w:rsidR="4D4A8C36">
        <w:t>in</w:t>
      </w:r>
      <w:r w:rsidR="0515AFAD">
        <w:t xml:space="preserve"> May 2025</w:t>
      </w:r>
      <w:r w:rsidR="19A38ABE">
        <w:t xml:space="preserve"> and welcome</w:t>
      </w:r>
      <w:r w:rsidR="716B83DD">
        <w:t>d</w:t>
      </w:r>
      <w:r w:rsidR="19A38ABE">
        <w:t xml:space="preserve"> three new members, Ms Ong</w:t>
      </w:r>
      <w:r w:rsidR="77F86B68">
        <w:t>u</w:t>
      </w:r>
      <w:r w:rsidR="19A38ABE">
        <w:t xml:space="preserve">ka, Ms Mishra and Mr </w:t>
      </w:r>
      <w:r w:rsidR="1260E86E">
        <w:t>F</w:t>
      </w:r>
      <w:r w:rsidR="19A38ABE">
        <w:t>ernandez, to the Committee</w:t>
      </w:r>
      <w:r w:rsidR="0515AFAD">
        <w:t>.</w:t>
      </w:r>
    </w:p>
    <w:p w14:paraId="41F850D7" w14:textId="77777777" w:rsidR="00327D93" w:rsidRPr="00E87F6F" w:rsidRDefault="00327D93" w:rsidP="4016F77D">
      <w:pPr>
        <w:pStyle w:val="WMOBodyText"/>
        <w:tabs>
          <w:tab w:val="left" w:pos="567"/>
        </w:tabs>
        <w:rPr>
          <w:b/>
          <w:bCs/>
        </w:rPr>
      </w:pPr>
      <w:r w:rsidRPr="4016F77D">
        <w:rPr>
          <w:b/>
          <w:bCs/>
        </w:rPr>
        <w:t>Sessions</w:t>
      </w:r>
    </w:p>
    <w:p w14:paraId="6E421F9F" w14:textId="77777777" w:rsidR="00327D93" w:rsidRPr="00E87F6F" w:rsidRDefault="00327D93" w:rsidP="00F938AD">
      <w:pPr>
        <w:pStyle w:val="WMOBodyText"/>
        <w:numPr>
          <w:ilvl w:val="0"/>
          <w:numId w:val="1"/>
        </w:numPr>
        <w:tabs>
          <w:tab w:val="left" w:pos="567"/>
        </w:tabs>
        <w:ind w:left="0" w:firstLine="0"/>
      </w:pPr>
      <w:r w:rsidRPr="00E87F6F">
        <w:t>Since the EC-78, the AOC has held two sessions:</w:t>
      </w:r>
    </w:p>
    <w:p w14:paraId="79C3F698" w14:textId="77777777" w:rsidR="00327D93" w:rsidRPr="00E87F6F" w:rsidRDefault="00327D93" w:rsidP="00327D93">
      <w:pPr>
        <w:pStyle w:val="WMOIndent1"/>
        <w:spacing w:before="0"/>
        <w:ind w:left="1021" w:hanging="737"/>
      </w:pPr>
      <w:r w:rsidRPr="00E87F6F">
        <w:t>(a)</w:t>
      </w:r>
      <w:r w:rsidRPr="00E87F6F">
        <w:tab/>
        <w:t>AOC-43 – Geneva, 02-04 December 2024.</w:t>
      </w:r>
    </w:p>
    <w:p w14:paraId="6DD80B58" w14:textId="77777777" w:rsidR="00327D93" w:rsidRPr="00E87F6F" w:rsidRDefault="00327D93" w:rsidP="00327D93">
      <w:pPr>
        <w:pStyle w:val="WMOIndent1"/>
        <w:spacing w:before="0"/>
        <w:ind w:left="1021" w:hanging="737"/>
      </w:pPr>
      <w:r>
        <w:t>(b)</w:t>
      </w:r>
      <w:r>
        <w:tab/>
        <w:t xml:space="preserve">AOC-44 - Videoconference, </w:t>
      </w:r>
      <w:r w:rsidR="5BAE1EA7">
        <w:t>0</w:t>
      </w:r>
      <w:r>
        <w:t>4 April 2025 and 12-14 May 2025.</w:t>
      </w:r>
    </w:p>
    <w:p w14:paraId="14381EFD" w14:textId="77777777" w:rsidR="00327D93" w:rsidRPr="00E87F6F" w:rsidRDefault="00327D93" w:rsidP="00327D93">
      <w:pPr>
        <w:pStyle w:val="Heading3"/>
      </w:pPr>
      <w:r w:rsidRPr="00E87F6F">
        <w:t>Matters considered at the sessions</w:t>
      </w:r>
    </w:p>
    <w:p w14:paraId="480998AA" w14:textId="77777777" w:rsidR="00327D93" w:rsidRPr="00E87F6F" w:rsidRDefault="00327D93" w:rsidP="00F938AD">
      <w:pPr>
        <w:pStyle w:val="WMOBodyText"/>
        <w:numPr>
          <w:ilvl w:val="0"/>
          <w:numId w:val="1"/>
        </w:numPr>
        <w:tabs>
          <w:tab w:val="left" w:pos="567"/>
        </w:tabs>
        <w:ind w:left="0" w:firstLine="0"/>
      </w:pPr>
      <w:r w:rsidRPr="00E87F6F">
        <w:t>Following its mandate, the AOC continued to discharge its oversight and advisory roles on the following matters:</w:t>
      </w:r>
    </w:p>
    <w:p w14:paraId="333299E9" w14:textId="77777777" w:rsidR="00327D93" w:rsidRPr="00E87F6F" w:rsidRDefault="00327D93" w:rsidP="00327D93">
      <w:pPr>
        <w:pStyle w:val="WMOIndent1"/>
        <w:spacing w:before="0"/>
        <w:ind w:left="924" w:firstLine="0"/>
      </w:pPr>
    </w:p>
    <w:p w14:paraId="3747458E" w14:textId="77777777" w:rsidR="00327D93" w:rsidRPr="00E87F6F" w:rsidRDefault="00327D93" w:rsidP="00F938AD">
      <w:pPr>
        <w:pStyle w:val="WMOIndent1"/>
        <w:numPr>
          <w:ilvl w:val="0"/>
          <w:numId w:val="2"/>
        </w:numPr>
        <w:spacing w:before="0"/>
      </w:pPr>
      <w:r w:rsidRPr="00E87F6F">
        <w:t xml:space="preserve">Financial Statements for </w:t>
      </w:r>
      <w:proofErr w:type="gramStart"/>
      <w:r w:rsidRPr="00E87F6F">
        <w:t>202</w:t>
      </w:r>
      <w:r w:rsidR="00FE7047" w:rsidRPr="00E87F6F">
        <w:t>4</w:t>
      </w:r>
      <w:r w:rsidRPr="00E87F6F">
        <w:t>;</w:t>
      </w:r>
      <w:proofErr w:type="gramEnd"/>
    </w:p>
    <w:p w14:paraId="44441E1F" w14:textId="77777777" w:rsidR="00327D93" w:rsidRPr="00E87F6F" w:rsidRDefault="00327D93" w:rsidP="00F938AD">
      <w:pPr>
        <w:pStyle w:val="WMOIndent1"/>
        <w:numPr>
          <w:ilvl w:val="0"/>
          <w:numId w:val="2"/>
        </w:numPr>
        <w:spacing w:before="0"/>
      </w:pPr>
      <w:r w:rsidRPr="00E87F6F">
        <w:t xml:space="preserve">Report of the External </w:t>
      </w:r>
      <w:proofErr w:type="gramStart"/>
      <w:r w:rsidRPr="00E87F6F">
        <w:t>Auditors;</w:t>
      </w:r>
      <w:proofErr w:type="gramEnd"/>
    </w:p>
    <w:p w14:paraId="04445452" w14:textId="77777777" w:rsidR="00327D93" w:rsidRDefault="00327D93" w:rsidP="6EB183B7">
      <w:pPr>
        <w:pStyle w:val="WMOIndent1"/>
        <w:numPr>
          <w:ilvl w:val="0"/>
          <w:numId w:val="2"/>
        </w:numPr>
        <w:spacing w:before="0"/>
      </w:pPr>
      <w:r>
        <w:t xml:space="preserve">Statement on Internal </w:t>
      </w:r>
      <w:proofErr w:type="gramStart"/>
      <w:r>
        <w:t>Controls;</w:t>
      </w:r>
      <w:proofErr w:type="gramEnd"/>
      <w:r>
        <w:t xml:space="preserve"> </w:t>
      </w:r>
    </w:p>
    <w:p w14:paraId="4C638516" w14:textId="77777777" w:rsidR="00327D93" w:rsidRPr="00E87F6F" w:rsidRDefault="00327D93" w:rsidP="00F938AD">
      <w:pPr>
        <w:pStyle w:val="WMOIndent1"/>
        <w:numPr>
          <w:ilvl w:val="0"/>
          <w:numId w:val="2"/>
        </w:numPr>
        <w:spacing w:before="0"/>
      </w:pPr>
      <w:r w:rsidRPr="00E87F6F">
        <w:t xml:space="preserve">Internal </w:t>
      </w:r>
      <w:proofErr w:type="gramStart"/>
      <w:r w:rsidRPr="00E87F6F">
        <w:t>Oversight;</w:t>
      </w:r>
      <w:proofErr w:type="gramEnd"/>
      <w:r w:rsidRPr="00E87F6F">
        <w:t xml:space="preserve"> </w:t>
      </w:r>
    </w:p>
    <w:p w14:paraId="20F578C8" w14:textId="77777777" w:rsidR="00327D93" w:rsidRPr="00E87F6F" w:rsidRDefault="00327D93" w:rsidP="00F938AD">
      <w:pPr>
        <w:pStyle w:val="WMOIndent1"/>
        <w:numPr>
          <w:ilvl w:val="0"/>
          <w:numId w:val="2"/>
        </w:numPr>
        <w:spacing w:before="0"/>
      </w:pPr>
      <w:r w:rsidRPr="00E87F6F">
        <w:t xml:space="preserve">Joint Inspection Unit (JIU) </w:t>
      </w:r>
      <w:proofErr w:type="gramStart"/>
      <w:r w:rsidR="00466E57">
        <w:t>R</w:t>
      </w:r>
      <w:r w:rsidRPr="00E87F6F">
        <w:t>eports;</w:t>
      </w:r>
      <w:proofErr w:type="gramEnd"/>
    </w:p>
    <w:p w14:paraId="042757B1" w14:textId="77777777" w:rsidR="00327D93" w:rsidRPr="00E87F6F" w:rsidRDefault="00327D93" w:rsidP="00F938AD">
      <w:pPr>
        <w:pStyle w:val="WMOIndent1"/>
        <w:numPr>
          <w:ilvl w:val="0"/>
          <w:numId w:val="2"/>
        </w:numPr>
        <w:spacing w:before="0"/>
      </w:pPr>
      <w:r>
        <w:t xml:space="preserve">Risk </w:t>
      </w:r>
      <w:r w:rsidR="65DE1C0A">
        <w:t>M</w:t>
      </w:r>
      <w:r>
        <w:t>anagement</w:t>
      </w:r>
      <w:r w:rsidR="429BD77F">
        <w:t xml:space="preserve"> and Strategic </w:t>
      </w:r>
      <w:proofErr w:type="gramStart"/>
      <w:r w:rsidR="429BD77F">
        <w:t>Foresight</w:t>
      </w:r>
      <w:r>
        <w:t>;</w:t>
      </w:r>
      <w:proofErr w:type="gramEnd"/>
    </w:p>
    <w:p w14:paraId="745BDC44" w14:textId="77777777" w:rsidR="00327D93" w:rsidRPr="00E87F6F" w:rsidRDefault="00327D93" w:rsidP="00F938AD">
      <w:pPr>
        <w:pStyle w:val="WMOIndent1"/>
        <w:numPr>
          <w:ilvl w:val="0"/>
          <w:numId w:val="2"/>
        </w:numPr>
        <w:spacing w:before="0"/>
      </w:pPr>
      <w:proofErr w:type="gramStart"/>
      <w:r>
        <w:t>Ethics;</w:t>
      </w:r>
      <w:proofErr w:type="gramEnd"/>
    </w:p>
    <w:p w14:paraId="031E1B09" w14:textId="77777777" w:rsidR="00327D93" w:rsidRPr="00E87F6F" w:rsidRDefault="3DC45D38" w:rsidP="00F938AD">
      <w:pPr>
        <w:pStyle w:val="WMOIndent1"/>
        <w:numPr>
          <w:ilvl w:val="0"/>
          <w:numId w:val="2"/>
        </w:numPr>
        <w:spacing w:before="0"/>
      </w:pPr>
      <w:r>
        <w:t>Ex</w:t>
      </w:r>
      <w:r w:rsidR="66B511E5">
        <w:t>ecutive Council R</w:t>
      </w:r>
      <w:r>
        <w:t>ecommendations</w:t>
      </w:r>
      <w:r w:rsidR="39A39BBF">
        <w:t xml:space="preserve"> </w:t>
      </w:r>
      <w:r w:rsidR="342CE25B">
        <w:t>(Self-Assessment,</w:t>
      </w:r>
      <w:r w:rsidR="7EA3871F">
        <w:t xml:space="preserve"> </w:t>
      </w:r>
      <w:r w:rsidR="17E9DBCF">
        <w:t>Financial</w:t>
      </w:r>
      <w:r w:rsidR="342CE25B">
        <w:t xml:space="preserve"> Status of WMO, and</w:t>
      </w:r>
      <w:r w:rsidR="04407BA9">
        <w:t xml:space="preserve"> AOC Recommendations); and</w:t>
      </w:r>
    </w:p>
    <w:p w14:paraId="34FFE556" w14:textId="77777777" w:rsidR="00327D93" w:rsidRPr="00E87F6F" w:rsidRDefault="2D37163A" w:rsidP="00F938AD">
      <w:pPr>
        <w:pStyle w:val="WMOIndent1"/>
        <w:numPr>
          <w:ilvl w:val="0"/>
          <w:numId w:val="2"/>
        </w:numPr>
        <w:spacing w:before="0"/>
      </w:pPr>
      <w:r>
        <w:t>Other Matters</w:t>
      </w:r>
      <w:r w:rsidR="00327D93">
        <w:t>.</w:t>
      </w:r>
    </w:p>
    <w:p w14:paraId="580DEF82" w14:textId="77777777" w:rsidR="00327D93" w:rsidRPr="00E87F6F" w:rsidRDefault="00327D93" w:rsidP="4016F77D">
      <w:pPr>
        <w:pStyle w:val="WMOBodyText"/>
        <w:numPr>
          <w:ilvl w:val="0"/>
          <w:numId w:val="1"/>
        </w:numPr>
        <w:tabs>
          <w:tab w:val="left" w:pos="567"/>
        </w:tabs>
        <w:ind w:left="0" w:firstLine="0"/>
        <w:rPr>
          <w:rFonts w:eastAsia="Times New Roman" w:cs="Times New Roman"/>
          <w:lang w:eastAsia="en-GB"/>
        </w:rPr>
      </w:pPr>
      <w:r>
        <w:t xml:space="preserve">The following sections </w:t>
      </w:r>
      <w:r w:rsidR="00BA5C46">
        <w:t>summarise</w:t>
      </w:r>
      <w:r>
        <w:t xml:space="preserve"> the discussions, advice, and recommendations </w:t>
      </w:r>
      <w:r w:rsidR="00760687">
        <w:t>for</w:t>
      </w:r>
      <w:r>
        <w:t xml:space="preserve"> the Secretary-General and Executive Council.</w:t>
      </w:r>
    </w:p>
    <w:p w14:paraId="29AA21D9" w14:textId="77777777" w:rsidR="00327D93" w:rsidRPr="00E87F6F" w:rsidRDefault="598BF511" w:rsidP="4016F77D">
      <w:pPr>
        <w:pStyle w:val="WMOBodyText"/>
        <w:tabs>
          <w:tab w:val="left" w:pos="567"/>
        </w:tabs>
        <w:rPr>
          <w:rFonts w:eastAsia="Times New Roman" w:cs="Times New Roman"/>
          <w:b/>
          <w:bCs/>
          <w:lang w:eastAsia="en-GB"/>
        </w:rPr>
      </w:pPr>
      <w:r w:rsidRPr="46F31DAC">
        <w:rPr>
          <w:b/>
          <w:bCs/>
        </w:rPr>
        <w:t>Financial Statements for 2024</w:t>
      </w:r>
    </w:p>
    <w:p w14:paraId="7EE15094" w14:textId="77777777" w:rsidR="00327D93" w:rsidRPr="00E87F6F" w:rsidRDefault="4F5469CC" w:rsidP="46F31DAC">
      <w:pPr>
        <w:pStyle w:val="ListParagraph"/>
        <w:numPr>
          <w:ilvl w:val="0"/>
          <w:numId w:val="1"/>
        </w:numPr>
        <w:tabs>
          <w:tab w:val="clear" w:pos="1134"/>
          <w:tab w:val="left" w:pos="567"/>
        </w:tabs>
        <w:spacing w:beforeAutospacing="1" w:afterAutospacing="1"/>
        <w:ind w:left="0" w:firstLine="0"/>
        <w:jc w:val="left"/>
      </w:pPr>
      <w:r w:rsidRPr="46F31DAC">
        <w:rPr>
          <w:rFonts w:eastAsia="Times New Roman" w:cs="Times New Roman"/>
          <w:lang w:eastAsia="en-GB"/>
        </w:rPr>
        <w:t xml:space="preserve">The </w:t>
      </w:r>
      <w:r w:rsidR="7F31E1F1" w:rsidRPr="46F31DAC">
        <w:rPr>
          <w:rFonts w:eastAsia="Times New Roman" w:cs="Times New Roman"/>
          <w:lang w:eastAsia="en-GB"/>
        </w:rPr>
        <w:t>AOC reviewed</w:t>
      </w:r>
      <w:r w:rsidRPr="46F31DAC">
        <w:rPr>
          <w:rFonts w:eastAsia="Times New Roman" w:cs="Times New Roman"/>
          <w:lang w:eastAsia="en-GB"/>
        </w:rPr>
        <w:t xml:space="preserve"> the</w:t>
      </w:r>
      <w:r w:rsidR="77E9DCEA" w:rsidRPr="46F31DAC">
        <w:rPr>
          <w:rFonts w:eastAsia="Times New Roman" w:cs="Times New Roman"/>
          <w:lang w:eastAsia="en-GB"/>
        </w:rPr>
        <w:t xml:space="preserve"> </w:t>
      </w:r>
      <w:r w:rsidR="11977AAB" w:rsidRPr="46F31DAC">
        <w:rPr>
          <w:rFonts w:eastAsia="Times New Roman" w:cs="Times New Roman"/>
          <w:lang w:eastAsia="en-GB"/>
        </w:rPr>
        <w:t>WMO</w:t>
      </w:r>
      <w:r w:rsidRPr="46F31DAC">
        <w:rPr>
          <w:rFonts w:eastAsia="Times New Roman" w:cs="Times New Roman"/>
          <w:lang w:eastAsia="en-GB"/>
        </w:rPr>
        <w:t xml:space="preserve"> Financial Statements</w:t>
      </w:r>
      <w:r w:rsidR="277D6A88" w:rsidRPr="46F31DAC">
        <w:rPr>
          <w:rFonts w:eastAsia="Times New Roman" w:cs="Times New Roman"/>
          <w:lang w:eastAsia="en-GB"/>
        </w:rPr>
        <w:t xml:space="preserve"> for </w:t>
      </w:r>
      <w:r w:rsidR="29F5F2A8" w:rsidRPr="46F31DAC">
        <w:rPr>
          <w:rFonts w:eastAsia="Times New Roman" w:cs="Times New Roman"/>
          <w:lang w:eastAsia="en-GB"/>
        </w:rPr>
        <w:t xml:space="preserve">the </w:t>
      </w:r>
      <w:r w:rsidR="277D6A88" w:rsidRPr="46F31DAC">
        <w:rPr>
          <w:rFonts w:eastAsia="Times New Roman" w:cs="Times New Roman"/>
          <w:lang w:eastAsia="en-GB"/>
        </w:rPr>
        <w:t>year ended 31 December 2024</w:t>
      </w:r>
      <w:r w:rsidR="57BB5FE9" w:rsidRPr="46F31DAC">
        <w:rPr>
          <w:rFonts w:eastAsia="Times New Roman" w:cs="Times New Roman"/>
          <w:lang w:eastAsia="en-GB"/>
        </w:rPr>
        <w:t>.</w:t>
      </w:r>
      <w:r w:rsidR="3EBB35B9" w:rsidRPr="46F31DAC">
        <w:rPr>
          <w:rFonts w:eastAsia="Times New Roman" w:cs="Times New Roman"/>
          <w:lang w:eastAsia="en-GB"/>
        </w:rPr>
        <w:t xml:space="preserve"> </w:t>
      </w:r>
      <w:r w:rsidR="004177AA" w:rsidRPr="46F31DAC">
        <w:rPr>
          <w:rFonts w:eastAsia="Times New Roman" w:cs="Times New Roman"/>
          <w:lang w:eastAsia="en-GB"/>
        </w:rPr>
        <w:t xml:space="preserve">During </w:t>
      </w:r>
      <w:r w:rsidR="32B78337" w:rsidRPr="46F31DAC">
        <w:rPr>
          <w:rFonts w:eastAsia="Times New Roman" w:cs="Times New Roman"/>
          <w:lang w:eastAsia="en-GB"/>
        </w:rPr>
        <w:t xml:space="preserve">its </w:t>
      </w:r>
      <w:r w:rsidR="004177AA" w:rsidRPr="46F31DAC">
        <w:rPr>
          <w:rFonts w:eastAsia="Times New Roman" w:cs="Times New Roman"/>
          <w:lang w:eastAsia="en-GB"/>
        </w:rPr>
        <w:t xml:space="preserve">review, the Committee sought clarifications </w:t>
      </w:r>
      <w:r w:rsidR="5829DCD8" w:rsidRPr="46F31DAC">
        <w:rPr>
          <w:rFonts w:eastAsia="Times New Roman" w:cs="Times New Roman"/>
          <w:lang w:eastAsia="en-GB"/>
        </w:rPr>
        <w:t xml:space="preserve">from Management </w:t>
      </w:r>
      <w:r w:rsidR="78953F09" w:rsidRPr="46F31DAC">
        <w:rPr>
          <w:rFonts w:eastAsia="Times New Roman" w:cs="Times New Roman"/>
          <w:lang w:eastAsia="en-GB"/>
        </w:rPr>
        <w:t xml:space="preserve">on </w:t>
      </w:r>
      <w:r w:rsidR="1969A3CD" w:rsidRPr="46F31DAC">
        <w:rPr>
          <w:rFonts w:eastAsia="Times New Roman" w:cs="Times New Roman"/>
          <w:lang w:eastAsia="en-GB"/>
        </w:rPr>
        <w:t>several</w:t>
      </w:r>
      <w:r w:rsidR="78953F09" w:rsidRPr="46F31DAC">
        <w:rPr>
          <w:rFonts w:eastAsia="Times New Roman" w:cs="Times New Roman"/>
          <w:lang w:eastAsia="en-GB"/>
        </w:rPr>
        <w:t xml:space="preserve"> </w:t>
      </w:r>
      <w:r w:rsidR="5C5D44F8" w:rsidRPr="46F31DAC">
        <w:rPr>
          <w:rFonts w:eastAsia="Times New Roman" w:cs="Times New Roman"/>
          <w:lang w:eastAsia="en-GB"/>
        </w:rPr>
        <w:t xml:space="preserve">pertinent </w:t>
      </w:r>
      <w:r w:rsidR="78953F09" w:rsidRPr="46F31DAC">
        <w:rPr>
          <w:rFonts w:eastAsia="Times New Roman" w:cs="Times New Roman"/>
          <w:lang w:eastAsia="en-GB"/>
        </w:rPr>
        <w:t xml:space="preserve">areas </w:t>
      </w:r>
      <w:r w:rsidR="092283FD" w:rsidRPr="46F31DAC">
        <w:rPr>
          <w:rFonts w:eastAsia="Times New Roman" w:cs="Times New Roman"/>
          <w:lang w:eastAsia="en-GB"/>
        </w:rPr>
        <w:t>relating to</w:t>
      </w:r>
      <w:r w:rsidR="7A5F1A69" w:rsidRPr="46F31DAC">
        <w:rPr>
          <w:rFonts w:eastAsia="Times New Roman" w:cs="Times New Roman"/>
          <w:lang w:eastAsia="en-GB"/>
        </w:rPr>
        <w:t xml:space="preserve"> </w:t>
      </w:r>
      <w:r w:rsidR="05C8447E" w:rsidRPr="46F31DAC">
        <w:rPr>
          <w:rFonts w:eastAsia="Times New Roman" w:cs="Times New Roman"/>
          <w:lang w:eastAsia="en-GB"/>
        </w:rPr>
        <w:t xml:space="preserve">the </w:t>
      </w:r>
      <w:r w:rsidR="7A5F1A69" w:rsidRPr="46F31DAC">
        <w:rPr>
          <w:rFonts w:eastAsia="Times New Roman" w:cs="Times New Roman"/>
          <w:lang w:eastAsia="en-GB"/>
        </w:rPr>
        <w:t>adequ</w:t>
      </w:r>
      <w:r w:rsidR="5CEA28A9" w:rsidRPr="46F31DAC">
        <w:rPr>
          <w:rFonts w:eastAsia="Times New Roman" w:cs="Times New Roman"/>
          <w:lang w:eastAsia="en-GB"/>
        </w:rPr>
        <w:t>a</w:t>
      </w:r>
      <w:r w:rsidR="461927EB" w:rsidRPr="46F31DAC">
        <w:rPr>
          <w:rFonts w:eastAsia="Times New Roman" w:cs="Times New Roman"/>
          <w:lang w:eastAsia="en-GB"/>
        </w:rPr>
        <w:t xml:space="preserve">cy of </w:t>
      </w:r>
      <w:r w:rsidR="0040293C">
        <w:rPr>
          <w:rFonts w:eastAsia="Times New Roman" w:cs="Times New Roman"/>
          <w:lang w:eastAsia="en-GB"/>
        </w:rPr>
        <w:t xml:space="preserve">accounting policies and </w:t>
      </w:r>
      <w:r w:rsidR="461927EB" w:rsidRPr="46F31DAC">
        <w:rPr>
          <w:rFonts w:eastAsia="Times New Roman" w:cs="Times New Roman"/>
          <w:lang w:eastAsia="en-GB"/>
        </w:rPr>
        <w:t>financial</w:t>
      </w:r>
      <w:r w:rsidR="15FAED75" w:rsidRPr="46F31DAC">
        <w:rPr>
          <w:rFonts w:eastAsia="Times New Roman" w:cs="Times New Roman"/>
          <w:lang w:eastAsia="en-GB"/>
        </w:rPr>
        <w:t xml:space="preserve"> </w:t>
      </w:r>
      <w:r w:rsidR="7A5F1A69" w:rsidRPr="46F31DAC">
        <w:rPr>
          <w:rFonts w:eastAsia="Times New Roman" w:cs="Times New Roman"/>
          <w:lang w:eastAsia="en-GB"/>
        </w:rPr>
        <w:t>disclosure</w:t>
      </w:r>
      <w:r w:rsidR="201847FE" w:rsidRPr="46F31DAC">
        <w:rPr>
          <w:rFonts w:eastAsia="Times New Roman" w:cs="Times New Roman"/>
          <w:lang w:eastAsia="en-GB"/>
        </w:rPr>
        <w:t>s</w:t>
      </w:r>
      <w:r w:rsidR="000950B8">
        <w:rPr>
          <w:rFonts w:eastAsia="Times New Roman" w:cs="Times New Roman"/>
          <w:lang w:eastAsia="en-GB"/>
        </w:rPr>
        <w:t xml:space="preserve"> </w:t>
      </w:r>
      <w:r w:rsidR="004F1A68">
        <w:rPr>
          <w:rFonts w:eastAsia="Times New Roman" w:cs="Times New Roman"/>
          <w:lang w:eastAsia="en-GB"/>
        </w:rPr>
        <w:t>according to</w:t>
      </w:r>
      <w:r w:rsidR="6286ADD0" w:rsidRPr="46F31DAC">
        <w:rPr>
          <w:rFonts w:eastAsia="Times New Roman" w:cs="Times New Roman"/>
          <w:lang w:eastAsia="en-GB"/>
        </w:rPr>
        <w:t xml:space="preserve"> the International </w:t>
      </w:r>
      <w:r w:rsidR="6337D01B" w:rsidRPr="46F31DAC">
        <w:rPr>
          <w:rFonts w:eastAsia="Times New Roman" w:cs="Times New Roman"/>
          <w:lang w:eastAsia="en-GB"/>
        </w:rPr>
        <w:t>Public</w:t>
      </w:r>
      <w:r w:rsidR="6286ADD0" w:rsidRPr="46F31DAC">
        <w:rPr>
          <w:rFonts w:eastAsia="Times New Roman" w:cs="Times New Roman"/>
          <w:lang w:eastAsia="en-GB"/>
        </w:rPr>
        <w:t xml:space="preserve"> Sector Accounting Standards (IPSAS)</w:t>
      </w:r>
      <w:r w:rsidR="5BC6620F" w:rsidRPr="46F31DAC">
        <w:rPr>
          <w:rFonts w:eastAsia="Times New Roman" w:cs="Times New Roman"/>
          <w:lang w:eastAsia="en-GB"/>
        </w:rPr>
        <w:t>.</w:t>
      </w:r>
      <w:r w:rsidR="5C5C69E4" w:rsidRPr="46F31DAC">
        <w:rPr>
          <w:rFonts w:eastAsia="Times New Roman" w:cs="Times New Roman"/>
          <w:lang w:eastAsia="en-GB"/>
        </w:rPr>
        <w:t xml:space="preserve"> </w:t>
      </w:r>
      <w:r w:rsidR="5C5C69E4" w:rsidRPr="46F31DAC">
        <w:rPr>
          <w:rFonts w:eastAsia="Times New Roman" w:cs="Times New Roman"/>
          <w:lang w:eastAsia="en-GB"/>
        </w:rPr>
        <w:lastRenderedPageBreak/>
        <w:t>AOC was sati</w:t>
      </w:r>
      <w:r w:rsidR="1A6FDC82" w:rsidRPr="46F31DAC">
        <w:rPr>
          <w:rFonts w:eastAsia="Times New Roman" w:cs="Times New Roman"/>
          <w:lang w:eastAsia="en-GB"/>
        </w:rPr>
        <w:t>sfied</w:t>
      </w:r>
      <w:r w:rsidR="5C5C69E4" w:rsidRPr="46F31DAC">
        <w:rPr>
          <w:rFonts w:eastAsia="Times New Roman" w:cs="Times New Roman"/>
          <w:lang w:eastAsia="en-GB"/>
        </w:rPr>
        <w:t xml:space="preserve"> with the explanations provided by Manag</w:t>
      </w:r>
      <w:r w:rsidR="2CFE6F3F" w:rsidRPr="46F31DAC">
        <w:rPr>
          <w:rFonts w:eastAsia="Times New Roman" w:cs="Times New Roman"/>
          <w:lang w:eastAsia="en-GB"/>
        </w:rPr>
        <w:t>e</w:t>
      </w:r>
      <w:r w:rsidR="5C5C69E4" w:rsidRPr="46F31DAC">
        <w:rPr>
          <w:rFonts w:eastAsia="Times New Roman" w:cs="Times New Roman"/>
          <w:lang w:eastAsia="en-GB"/>
        </w:rPr>
        <w:t xml:space="preserve">ment. In </w:t>
      </w:r>
      <w:r w:rsidR="2166EB48" w:rsidRPr="46F31DAC">
        <w:rPr>
          <w:rFonts w:eastAsia="Times New Roman" w:cs="Times New Roman"/>
          <w:lang w:eastAsia="en-GB"/>
        </w:rPr>
        <w:t>addition</w:t>
      </w:r>
      <w:r w:rsidR="5C5C69E4" w:rsidRPr="46F31DAC">
        <w:rPr>
          <w:rFonts w:eastAsia="Times New Roman" w:cs="Times New Roman"/>
          <w:lang w:eastAsia="en-GB"/>
        </w:rPr>
        <w:t xml:space="preserve">, the AOC </w:t>
      </w:r>
      <w:r w:rsidR="6E4C29B1" w:rsidRPr="46F31DAC">
        <w:rPr>
          <w:rFonts w:eastAsia="Times New Roman" w:cs="Times New Roman"/>
          <w:lang w:eastAsia="en-GB"/>
        </w:rPr>
        <w:t>also</w:t>
      </w:r>
      <w:r w:rsidR="5C5C69E4" w:rsidRPr="46F31DAC">
        <w:rPr>
          <w:rFonts w:eastAsia="Times New Roman" w:cs="Times New Roman"/>
          <w:lang w:eastAsia="en-GB"/>
        </w:rPr>
        <w:t xml:space="preserve"> review</w:t>
      </w:r>
      <w:r w:rsidR="17BBD6CF" w:rsidRPr="46F31DAC">
        <w:rPr>
          <w:rFonts w:eastAsia="Times New Roman" w:cs="Times New Roman"/>
          <w:lang w:eastAsia="en-GB"/>
        </w:rPr>
        <w:t>ed</w:t>
      </w:r>
      <w:r w:rsidR="5C5C69E4" w:rsidRPr="46F31DAC">
        <w:rPr>
          <w:rFonts w:eastAsia="Times New Roman" w:cs="Times New Roman"/>
          <w:lang w:eastAsia="en-GB"/>
        </w:rPr>
        <w:t xml:space="preserve"> the </w:t>
      </w:r>
      <w:r w:rsidR="32502D95" w:rsidRPr="46F31DAC">
        <w:rPr>
          <w:rFonts w:eastAsia="Times New Roman" w:cs="Times New Roman"/>
          <w:lang w:eastAsia="en-GB"/>
        </w:rPr>
        <w:t>L</w:t>
      </w:r>
      <w:r w:rsidR="5C5C69E4" w:rsidRPr="46F31DAC">
        <w:rPr>
          <w:rFonts w:eastAsia="Times New Roman" w:cs="Times New Roman"/>
          <w:lang w:eastAsia="en-GB"/>
        </w:rPr>
        <w:t xml:space="preserve">etter of </w:t>
      </w:r>
      <w:r w:rsidR="0A5F5F9C" w:rsidRPr="46F31DAC">
        <w:rPr>
          <w:rFonts w:eastAsia="Times New Roman" w:cs="Times New Roman"/>
          <w:lang w:eastAsia="en-GB"/>
        </w:rPr>
        <w:t>Representation</w:t>
      </w:r>
      <w:r w:rsidR="00C241D7">
        <w:rPr>
          <w:rFonts w:eastAsia="Times New Roman" w:cs="Times New Roman"/>
          <w:lang w:eastAsia="en-GB"/>
        </w:rPr>
        <w:t xml:space="preserve"> supplied </w:t>
      </w:r>
      <w:r w:rsidR="4F32C019" w:rsidRPr="46F31DAC">
        <w:rPr>
          <w:rFonts w:eastAsia="Times New Roman" w:cs="Times New Roman"/>
          <w:lang w:eastAsia="en-GB"/>
        </w:rPr>
        <w:t>by Management to the External Auditors as part of the audit process. AOC</w:t>
      </w:r>
      <w:r w:rsidR="5C5C69E4" w:rsidRPr="46F31DAC">
        <w:rPr>
          <w:rFonts w:eastAsia="Times New Roman" w:cs="Times New Roman"/>
          <w:lang w:eastAsia="en-GB"/>
        </w:rPr>
        <w:t xml:space="preserve"> was also sati</w:t>
      </w:r>
      <w:r w:rsidR="7EA4C956" w:rsidRPr="46F31DAC">
        <w:rPr>
          <w:rFonts w:eastAsia="Times New Roman" w:cs="Times New Roman"/>
          <w:lang w:eastAsia="en-GB"/>
        </w:rPr>
        <w:t>s</w:t>
      </w:r>
      <w:r w:rsidR="5C5C69E4" w:rsidRPr="46F31DAC">
        <w:rPr>
          <w:rFonts w:eastAsia="Times New Roman" w:cs="Times New Roman"/>
          <w:lang w:eastAsia="en-GB"/>
        </w:rPr>
        <w:t>fie</w:t>
      </w:r>
      <w:r w:rsidR="3C67C5CA" w:rsidRPr="46F31DAC">
        <w:rPr>
          <w:rFonts w:eastAsia="Times New Roman" w:cs="Times New Roman"/>
          <w:lang w:eastAsia="en-GB"/>
        </w:rPr>
        <w:t xml:space="preserve">d </w:t>
      </w:r>
      <w:r w:rsidR="14830248" w:rsidRPr="46F31DAC">
        <w:rPr>
          <w:rFonts w:eastAsia="Times New Roman" w:cs="Times New Roman"/>
          <w:lang w:eastAsia="en-GB"/>
        </w:rPr>
        <w:t xml:space="preserve">that the letter was complete, accurate and fairly presented </w:t>
      </w:r>
      <w:r w:rsidR="00C241D7">
        <w:rPr>
          <w:rFonts w:eastAsia="Times New Roman" w:cs="Times New Roman"/>
          <w:lang w:eastAsia="en-GB"/>
        </w:rPr>
        <w:t>following</w:t>
      </w:r>
      <w:r w:rsidR="14830248" w:rsidRPr="46F31DAC">
        <w:rPr>
          <w:rFonts w:eastAsia="Times New Roman" w:cs="Times New Roman"/>
          <w:lang w:eastAsia="en-GB"/>
        </w:rPr>
        <w:t xml:space="preserve"> </w:t>
      </w:r>
      <w:r w:rsidR="00C241D7">
        <w:rPr>
          <w:rFonts w:eastAsia="Times New Roman" w:cs="Times New Roman"/>
          <w:lang w:eastAsia="en-GB"/>
        </w:rPr>
        <w:t xml:space="preserve">the </w:t>
      </w:r>
      <w:r w:rsidR="655E2BDE" w:rsidRPr="46F31DAC">
        <w:rPr>
          <w:rFonts w:eastAsia="Times New Roman" w:cs="Times New Roman"/>
          <w:lang w:eastAsia="en-GB"/>
        </w:rPr>
        <w:t>WMO financial reporting framework.</w:t>
      </w:r>
    </w:p>
    <w:p w14:paraId="24DD3A4C" w14:textId="77777777" w:rsidR="00327D93" w:rsidRPr="00E87F6F" w:rsidRDefault="00327D93" w:rsidP="4016F77D">
      <w:pPr>
        <w:pStyle w:val="ListParagraph"/>
        <w:tabs>
          <w:tab w:val="clear" w:pos="1134"/>
          <w:tab w:val="left" w:pos="567"/>
        </w:tabs>
        <w:spacing w:beforeAutospacing="1" w:afterAutospacing="1"/>
        <w:ind w:left="0"/>
        <w:jc w:val="left"/>
      </w:pPr>
    </w:p>
    <w:p w14:paraId="56124B40" w14:textId="77777777" w:rsidR="00327D93" w:rsidRDefault="0579A41F" w:rsidP="4016F77D">
      <w:pPr>
        <w:pStyle w:val="ListParagraph"/>
        <w:numPr>
          <w:ilvl w:val="0"/>
          <w:numId w:val="1"/>
        </w:numPr>
        <w:tabs>
          <w:tab w:val="clear" w:pos="1134"/>
          <w:tab w:val="left" w:pos="567"/>
        </w:tabs>
        <w:spacing w:beforeAutospacing="1" w:afterAutospacing="1"/>
        <w:ind w:left="0" w:firstLine="0"/>
        <w:jc w:val="left"/>
      </w:pPr>
      <w:r>
        <w:t>T</w:t>
      </w:r>
      <w:r w:rsidR="2A3FD142">
        <w:t xml:space="preserve">he AOC saw no impediment </w:t>
      </w:r>
      <w:r w:rsidR="003418ED">
        <w:t>to the Secretary-General submitting</w:t>
      </w:r>
      <w:r w:rsidR="2A3FD142">
        <w:t xml:space="preserve"> </w:t>
      </w:r>
      <w:r w:rsidR="5DF405A1">
        <w:t xml:space="preserve">to the </w:t>
      </w:r>
      <w:r w:rsidR="6FE74F98">
        <w:t>Executive Committee</w:t>
      </w:r>
      <w:r w:rsidR="5DF405A1">
        <w:t xml:space="preserve"> for adoption </w:t>
      </w:r>
      <w:r w:rsidR="2A3FD142">
        <w:t>the Financial Statements for 2024</w:t>
      </w:r>
      <w:r w:rsidR="16B2F528">
        <w:t xml:space="preserve">, which </w:t>
      </w:r>
      <w:r w:rsidR="32BDA2A1">
        <w:t xml:space="preserve">the External Auditors </w:t>
      </w:r>
      <w:r w:rsidR="3A110120">
        <w:t xml:space="preserve">confirmed </w:t>
      </w:r>
      <w:r w:rsidR="16B2F528">
        <w:t>present</w:t>
      </w:r>
      <w:r w:rsidR="1E8BCD4C">
        <w:t>ed</w:t>
      </w:r>
      <w:r w:rsidR="16B2F528">
        <w:t xml:space="preserve"> fairly the financial position of WMO as of 31 December 2024</w:t>
      </w:r>
      <w:r w:rsidR="00C241D7">
        <w:t>.</w:t>
      </w:r>
    </w:p>
    <w:p w14:paraId="16DDC7B2" w14:textId="77777777" w:rsidR="00C3001C" w:rsidRDefault="28D8AE39" w:rsidP="46F31DAC">
      <w:pPr>
        <w:pStyle w:val="WMOIndent1"/>
        <w:rPr>
          <w:b/>
          <w:bCs/>
        </w:rPr>
      </w:pPr>
      <w:r w:rsidRPr="46F31DAC">
        <w:rPr>
          <w:b/>
          <w:bCs/>
        </w:rPr>
        <w:t>Report of the External Auditors</w:t>
      </w:r>
    </w:p>
    <w:p w14:paraId="5542AB4A" w14:textId="77777777" w:rsidR="003251F5" w:rsidRPr="009149BB" w:rsidRDefault="003251F5" w:rsidP="4016F77D">
      <w:pPr>
        <w:pStyle w:val="ListParagraph"/>
        <w:numPr>
          <w:ilvl w:val="0"/>
          <w:numId w:val="1"/>
        </w:numPr>
        <w:tabs>
          <w:tab w:val="clear" w:pos="1134"/>
          <w:tab w:val="left" w:pos="567"/>
        </w:tabs>
        <w:spacing w:before="100" w:beforeAutospacing="1" w:after="100" w:afterAutospacing="1"/>
        <w:ind w:left="0" w:firstLine="0"/>
        <w:jc w:val="left"/>
        <w:rPr>
          <w:lang w:eastAsia="en-GB"/>
        </w:rPr>
      </w:pPr>
      <w:r w:rsidRPr="4016F77D">
        <w:rPr>
          <w:rFonts w:eastAsia="Times New Roman" w:cs="Times New Roman"/>
          <w:lang w:eastAsia="en-GB"/>
        </w:rPr>
        <w:t xml:space="preserve">The </w:t>
      </w:r>
      <w:r w:rsidR="3C168C01" w:rsidRPr="4016F77D">
        <w:rPr>
          <w:rFonts w:eastAsia="Times New Roman" w:cs="Times New Roman"/>
          <w:lang w:eastAsia="en-GB"/>
        </w:rPr>
        <w:t xml:space="preserve">AOC reviewed the </w:t>
      </w:r>
      <w:r w:rsidR="00BA5C46">
        <w:rPr>
          <w:rFonts w:eastAsia="Times New Roman" w:cs="Times New Roman"/>
          <w:lang w:eastAsia="en-GB"/>
        </w:rPr>
        <w:t>long-form report of the External Auditors, which contained 26 recommendations from the 2024 audit and the implementation status of audit recommendations from past audits. The Committee noted that Management has reviewed the 26 recommendations and agreed to implement or examine them in further depth</w:t>
      </w:r>
      <w:r w:rsidR="42114C73" w:rsidRPr="4016F77D">
        <w:rPr>
          <w:rFonts w:eastAsia="Times New Roman" w:cs="Times New Roman"/>
          <w:lang w:eastAsia="en-GB"/>
        </w:rPr>
        <w:t>.</w:t>
      </w:r>
    </w:p>
    <w:p w14:paraId="79B2157D" w14:textId="77777777" w:rsidR="009149BB" w:rsidRPr="00E87F6F" w:rsidRDefault="009149BB" w:rsidP="009149BB">
      <w:pPr>
        <w:pStyle w:val="ListParagraph"/>
      </w:pPr>
    </w:p>
    <w:p w14:paraId="3FEF53EC" w14:textId="77777777" w:rsidR="00327D93" w:rsidRPr="00E87F6F" w:rsidRDefault="2E8C1197" w:rsidP="46F31DAC">
      <w:pPr>
        <w:pStyle w:val="ListParagraph"/>
        <w:numPr>
          <w:ilvl w:val="0"/>
          <w:numId w:val="1"/>
        </w:numPr>
        <w:tabs>
          <w:tab w:val="clear" w:pos="1134"/>
          <w:tab w:val="left" w:pos="567"/>
        </w:tabs>
        <w:spacing w:beforeAutospacing="1" w:afterAutospacing="1"/>
        <w:ind w:left="0" w:firstLine="0"/>
        <w:jc w:val="left"/>
        <w:rPr>
          <w:b/>
          <w:bCs/>
          <w:i/>
          <w:iCs/>
        </w:rPr>
      </w:pPr>
      <w:r w:rsidRPr="46F31DAC">
        <w:rPr>
          <w:rFonts w:eastAsia="Verdana" w:cs="Verdana"/>
        </w:rPr>
        <w:t xml:space="preserve">The AOC sought clarifications from the External Auditors on the Management’s actions in implementing the </w:t>
      </w:r>
      <w:r w:rsidR="4FF0CCB2" w:rsidRPr="46F31DAC">
        <w:rPr>
          <w:rFonts w:eastAsia="Verdana" w:cs="Verdana"/>
        </w:rPr>
        <w:t xml:space="preserve">past </w:t>
      </w:r>
      <w:r w:rsidRPr="46F31DAC">
        <w:rPr>
          <w:rFonts w:eastAsia="Verdana" w:cs="Verdana"/>
        </w:rPr>
        <w:t>audit recommendations</w:t>
      </w:r>
      <w:r w:rsidR="5CF14367" w:rsidRPr="46F31DAC">
        <w:rPr>
          <w:rFonts w:eastAsia="Verdana" w:cs="Verdana"/>
        </w:rPr>
        <w:t xml:space="preserve"> </w:t>
      </w:r>
      <w:r w:rsidRPr="46F31DAC">
        <w:rPr>
          <w:rFonts w:eastAsia="Verdana" w:cs="Verdana"/>
        </w:rPr>
        <w:t>and was satisfied with the progress in implementing actions to mitigate the risks identified by the External Auditors.</w:t>
      </w:r>
      <w:r w:rsidR="25C29082" w:rsidRPr="46F31DAC">
        <w:rPr>
          <w:rFonts w:eastAsia="Verdana" w:cs="Verdana"/>
        </w:rPr>
        <w:t xml:space="preserve"> </w:t>
      </w:r>
      <w:r w:rsidR="13F12E70" w:rsidRPr="46F31DAC">
        <w:rPr>
          <w:rFonts w:eastAsia="Times New Roman" w:cs="Times New Roman"/>
          <w:lang w:eastAsia="en-GB"/>
        </w:rPr>
        <w:t xml:space="preserve">The </w:t>
      </w:r>
      <w:r w:rsidR="00BA5C46">
        <w:rPr>
          <w:rFonts w:eastAsia="Times New Roman" w:cs="Times New Roman"/>
          <w:lang w:eastAsia="en-GB"/>
        </w:rPr>
        <w:t>External Auditors also examined the implementation of past recommendations relating to cybersecurity, noting significant improvements in 2024 and not proposing new recommendations</w:t>
      </w:r>
      <w:r w:rsidR="13F12E70" w:rsidRPr="46F31DAC">
        <w:rPr>
          <w:rFonts w:eastAsia="Times New Roman" w:cs="Times New Roman"/>
          <w:lang w:eastAsia="en-GB"/>
        </w:rPr>
        <w:t xml:space="preserve"> other than those open recommendations.</w:t>
      </w:r>
      <w:r w:rsidR="13F12E70" w:rsidRPr="46F31DAC">
        <w:rPr>
          <w:rFonts w:eastAsia="Verdana" w:cs="Verdana"/>
        </w:rPr>
        <w:t xml:space="preserve"> </w:t>
      </w:r>
      <w:r w:rsidR="00A91397">
        <w:rPr>
          <w:rFonts w:eastAsia="Verdana" w:cs="Verdana"/>
        </w:rPr>
        <w:t>The</w:t>
      </w:r>
      <w:r w:rsidR="7999D471" w:rsidRPr="46F31DAC">
        <w:rPr>
          <w:rFonts w:eastAsia="Verdana" w:cs="Verdana"/>
        </w:rPr>
        <w:t xml:space="preserve"> </w:t>
      </w:r>
      <w:r w:rsidR="00BA5C46">
        <w:rPr>
          <w:rFonts w:eastAsia="Verdana" w:cs="Verdana"/>
        </w:rPr>
        <w:t>Committee appreciated Management’s</w:t>
      </w:r>
      <w:r w:rsidR="7999D471" w:rsidRPr="46F31DAC">
        <w:rPr>
          <w:rFonts w:eastAsia="Verdana" w:cs="Verdana"/>
        </w:rPr>
        <w:t xml:space="preserve"> high </w:t>
      </w:r>
      <w:r w:rsidR="730C48B7" w:rsidRPr="46F31DAC">
        <w:rPr>
          <w:rFonts w:eastAsia="Verdana" w:cs="Verdana"/>
        </w:rPr>
        <w:t>responsiveness</w:t>
      </w:r>
      <w:r w:rsidR="7999D471" w:rsidRPr="46F31DAC">
        <w:rPr>
          <w:rFonts w:eastAsia="Verdana" w:cs="Verdana"/>
        </w:rPr>
        <w:t xml:space="preserve"> and commit</w:t>
      </w:r>
      <w:r w:rsidR="33F815D8" w:rsidRPr="46F31DAC">
        <w:rPr>
          <w:rFonts w:eastAsia="Verdana" w:cs="Verdana"/>
        </w:rPr>
        <w:t xml:space="preserve">ment </w:t>
      </w:r>
      <w:r w:rsidR="00A91397">
        <w:rPr>
          <w:rFonts w:eastAsia="Verdana" w:cs="Verdana"/>
        </w:rPr>
        <w:t>to</w:t>
      </w:r>
      <w:r w:rsidR="2931CE8E" w:rsidRPr="46F31DAC">
        <w:rPr>
          <w:rFonts w:eastAsia="Verdana" w:cs="Verdana"/>
        </w:rPr>
        <w:t xml:space="preserve"> the audit recommendations</w:t>
      </w:r>
      <w:r w:rsidR="10D19A56" w:rsidRPr="46F31DAC">
        <w:rPr>
          <w:rFonts w:eastAsia="Verdana" w:cs="Verdana"/>
        </w:rPr>
        <w:t>.</w:t>
      </w:r>
    </w:p>
    <w:p w14:paraId="5B7353C8" w14:textId="77777777" w:rsidR="00327D93" w:rsidRPr="00BA5C46" w:rsidRDefault="598BF511" w:rsidP="4016F77D">
      <w:pPr>
        <w:tabs>
          <w:tab w:val="clear" w:pos="1134"/>
          <w:tab w:val="left" w:pos="567"/>
        </w:tabs>
        <w:spacing w:beforeAutospacing="1" w:afterAutospacing="1"/>
        <w:jc w:val="left"/>
        <w:rPr>
          <w:b/>
          <w:bCs/>
        </w:rPr>
      </w:pPr>
      <w:r w:rsidRPr="00BA5C46">
        <w:rPr>
          <w:b/>
          <w:bCs/>
        </w:rPr>
        <w:t>Statement on Internal Controls</w:t>
      </w:r>
    </w:p>
    <w:p w14:paraId="726211B2" w14:textId="77777777" w:rsidR="004A34DB" w:rsidRPr="001320BC" w:rsidRDefault="5086513A" w:rsidP="6EB183B7">
      <w:pPr>
        <w:pStyle w:val="ListParagraph"/>
        <w:numPr>
          <w:ilvl w:val="0"/>
          <w:numId w:val="1"/>
        </w:numPr>
        <w:tabs>
          <w:tab w:val="clear" w:pos="1134"/>
          <w:tab w:val="left" w:pos="567"/>
          <w:tab w:val="left" w:pos="851"/>
        </w:tabs>
        <w:spacing w:before="100" w:beforeAutospacing="1" w:after="100" w:afterAutospacing="1"/>
        <w:ind w:left="0" w:firstLine="0"/>
        <w:jc w:val="left"/>
        <w:rPr>
          <w:rFonts w:eastAsia="Verdana" w:cs="Verdana"/>
        </w:rPr>
      </w:pPr>
      <w:r w:rsidRPr="4016F77D">
        <w:rPr>
          <w:rFonts w:eastAsia="Verdana" w:cs="Verdana"/>
        </w:rPr>
        <w:t xml:space="preserve">The AOC revised and discussed the Secretary-General’s Statement on Internal Controls </w:t>
      </w:r>
      <w:r w:rsidR="04BAB22F" w:rsidRPr="4016F77D">
        <w:rPr>
          <w:rFonts w:eastAsia="Verdana" w:cs="Verdana"/>
        </w:rPr>
        <w:t xml:space="preserve">coordinated by </w:t>
      </w:r>
      <w:r w:rsidR="1879870B" w:rsidRPr="4016F77D">
        <w:rPr>
          <w:rFonts w:eastAsia="Verdana" w:cs="Verdana"/>
        </w:rPr>
        <w:t xml:space="preserve">the newly established </w:t>
      </w:r>
      <w:r w:rsidR="04BAB22F" w:rsidRPr="4016F77D">
        <w:rPr>
          <w:rFonts w:eastAsia="Verdana" w:cs="Verdana"/>
        </w:rPr>
        <w:t>Controller’s Office</w:t>
      </w:r>
      <w:r w:rsidRPr="4016F77D">
        <w:rPr>
          <w:rFonts w:eastAsia="Verdana" w:cs="Verdana"/>
        </w:rPr>
        <w:t xml:space="preserve">. The SIC is a public accountability document providing reasonable assurance that WMO operates under an effective internal control system. AOC recognised that the </w:t>
      </w:r>
      <w:r w:rsidR="7977F62A" w:rsidRPr="4016F77D">
        <w:rPr>
          <w:rFonts w:eastAsia="Verdana" w:cs="Verdana"/>
        </w:rPr>
        <w:t>Statement of Internal Control</w:t>
      </w:r>
      <w:r w:rsidRPr="4016F77D">
        <w:rPr>
          <w:rFonts w:eastAsia="Verdana" w:cs="Verdana"/>
        </w:rPr>
        <w:t xml:space="preserve"> is </w:t>
      </w:r>
      <w:r w:rsidR="00BA5C46">
        <w:rPr>
          <w:rFonts w:eastAsia="Verdana" w:cs="Verdana"/>
        </w:rPr>
        <w:t>essential to</w:t>
      </w:r>
      <w:r w:rsidRPr="4016F77D">
        <w:rPr>
          <w:rFonts w:eastAsia="Verdana" w:cs="Verdana"/>
        </w:rPr>
        <w:t xml:space="preserve"> a more systematic approach to managing control and risk. It is also an integral part of WMO to ensure optimal use of resources.</w:t>
      </w:r>
    </w:p>
    <w:p w14:paraId="374DC50A" w14:textId="77777777" w:rsidR="004A34DB" w:rsidRPr="001320BC" w:rsidRDefault="004A34DB" w:rsidP="4016F77D">
      <w:pPr>
        <w:pStyle w:val="ListParagraph"/>
        <w:tabs>
          <w:tab w:val="clear" w:pos="1134"/>
          <w:tab w:val="left" w:pos="567"/>
          <w:tab w:val="left" w:pos="851"/>
        </w:tabs>
        <w:spacing w:before="100" w:beforeAutospacing="1" w:after="100" w:afterAutospacing="1"/>
        <w:ind w:left="0"/>
        <w:jc w:val="left"/>
        <w:rPr>
          <w:rFonts w:eastAsia="Verdana" w:cs="Verdana"/>
        </w:rPr>
      </w:pPr>
    </w:p>
    <w:p w14:paraId="3D8CCF59" w14:textId="77777777" w:rsidR="00327D93" w:rsidRPr="00C02325" w:rsidRDefault="2111C104" w:rsidP="46F31DAC">
      <w:pPr>
        <w:pStyle w:val="ListParagraph"/>
        <w:numPr>
          <w:ilvl w:val="0"/>
          <w:numId w:val="1"/>
        </w:numPr>
        <w:tabs>
          <w:tab w:val="clear" w:pos="1134"/>
          <w:tab w:val="left" w:pos="567"/>
          <w:tab w:val="left" w:pos="851"/>
        </w:tabs>
        <w:spacing w:before="100" w:beforeAutospacing="1" w:after="100" w:afterAutospacing="1"/>
        <w:ind w:left="0" w:firstLine="0"/>
        <w:jc w:val="left"/>
        <w:rPr>
          <w:b/>
          <w:bCs/>
          <w:i/>
          <w:iCs/>
        </w:rPr>
      </w:pPr>
      <w:r w:rsidRPr="46F31DAC">
        <w:rPr>
          <w:rFonts w:eastAsia="Times New Roman" w:cs="Times New Roman"/>
          <w:lang w:eastAsia="en-GB"/>
        </w:rPr>
        <w:t xml:space="preserve">The Committee acknowledged </w:t>
      </w:r>
      <w:r w:rsidR="4F8963E1" w:rsidRPr="46F31DAC">
        <w:rPr>
          <w:rFonts w:eastAsia="Times New Roman" w:cs="Times New Roman"/>
          <w:lang w:eastAsia="en-GB"/>
        </w:rPr>
        <w:t xml:space="preserve">areas with </w:t>
      </w:r>
      <w:r w:rsidRPr="46F31DAC">
        <w:rPr>
          <w:rFonts w:eastAsia="Times New Roman" w:cs="Times New Roman"/>
          <w:lang w:eastAsia="en-GB"/>
        </w:rPr>
        <w:t>strengthened controls</w:t>
      </w:r>
      <w:r w:rsidR="00C241D7">
        <w:rPr>
          <w:rFonts w:eastAsia="Times New Roman" w:cs="Times New Roman"/>
          <w:lang w:eastAsia="en-GB"/>
        </w:rPr>
        <w:t>, such as creating a substantive Controller position to strengthen further internal control, and areas with further improvement opportunities described in the Statement of Internal Controls. Overall, AOC is satisfied with the assurance process and supports Management’s conclusion of an effective internal control system</w:t>
      </w:r>
      <w:r w:rsidR="2CE8DC32" w:rsidRPr="46F31DAC">
        <w:rPr>
          <w:rFonts w:eastAsia="Times New Roman" w:cs="Times New Roman"/>
          <w:lang w:eastAsia="en-GB"/>
        </w:rPr>
        <w:t xml:space="preserve"> </w:t>
      </w:r>
      <w:r w:rsidR="69A866A0" w:rsidRPr="46F31DAC">
        <w:rPr>
          <w:rFonts w:eastAsia="Times New Roman" w:cs="Times New Roman"/>
          <w:lang w:eastAsia="en-GB"/>
        </w:rPr>
        <w:t>in</w:t>
      </w:r>
      <w:r w:rsidR="2CE8DC32" w:rsidRPr="46F31DAC">
        <w:rPr>
          <w:rFonts w:eastAsia="Times New Roman" w:cs="Times New Roman"/>
          <w:lang w:eastAsia="en-GB"/>
        </w:rPr>
        <w:t xml:space="preserve"> 2024</w:t>
      </w:r>
      <w:r w:rsidR="3CC8EE1F" w:rsidRPr="46F31DAC">
        <w:rPr>
          <w:rFonts w:eastAsia="Times New Roman" w:cs="Times New Roman"/>
          <w:lang w:eastAsia="en-GB"/>
        </w:rPr>
        <w:t>.</w:t>
      </w:r>
      <w:r w:rsidR="004A34DB">
        <w:br/>
      </w:r>
      <w:r w:rsidR="004A34DB">
        <w:br/>
      </w:r>
      <w:r w:rsidR="598BF511" w:rsidRPr="46F31DAC">
        <w:rPr>
          <w:b/>
          <w:bCs/>
        </w:rPr>
        <w:t>Internal Oversight</w:t>
      </w:r>
    </w:p>
    <w:p w14:paraId="5DFB6471" w14:textId="77777777" w:rsidR="46F31DAC" w:rsidRDefault="46F31DAC" w:rsidP="46F31DAC">
      <w:pPr>
        <w:pStyle w:val="ListParagraph"/>
        <w:tabs>
          <w:tab w:val="clear" w:pos="1134"/>
          <w:tab w:val="left" w:pos="567"/>
          <w:tab w:val="left" w:pos="851"/>
        </w:tabs>
        <w:spacing w:beforeAutospacing="1" w:afterAutospacing="1"/>
        <w:ind w:left="0"/>
        <w:jc w:val="left"/>
        <w:rPr>
          <w:b/>
          <w:bCs/>
          <w:i/>
          <w:iCs/>
        </w:rPr>
      </w:pPr>
    </w:p>
    <w:p w14:paraId="10493E76" w14:textId="77777777" w:rsidR="00327D93" w:rsidRPr="00E87F6F" w:rsidRDefault="00327D93" w:rsidP="00C3001C">
      <w:pPr>
        <w:pStyle w:val="ListParagraph"/>
        <w:numPr>
          <w:ilvl w:val="0"/>
          <w:numId w:val="1"/>
        </w:numPr>
        <w:tabs>
          <w:tab w:val="clear" w:pos="1134"/>
          <w:tab w:val="left" w:pos="567"/>
        </w:tabs>
        <w:spacing w:beforeAutospacing="1" w:afterAutospacing="1"/>
        <w:ind w:left="0" w:firstLine="0"/>
        <w:jc w:val="left"/>
        <w:rPr>
          <w:b/>
          <w:bCs/>
          <w:i/>
          <w:iCs/>
        </w:rPr>
      </w:pPr>
      <w:r w:rsidRPr="4016F77D">
        <w:rPr>
          <w:color w:val="000000" w:themeColor="text1"/>
        </w:rPr>
        <w:t xml:space="preserve">The AOC </w:t>
      </w:r>
      <w:r w:rsidR="2902651D" w:rsidRPr="4016F77D">
        <w:rPr>
          <w:color w:val="000000" w:themeColor="text1"/>
        </w:rPr>
        <w:t>noted</w:t>
      </w:r>
      <w:r w:rsidR="0044383B" w:rsidRPr="4016F77D">
        <w:rPr>
          <w:color w:val="000000" w:themeColor="text1"/>
        </w:rPr>
        <w:t xml:space="preserve"> </w:t>
      </w:r>
      <w:r w:rsidRPr="00C3001C">
        <w:t>the</w:t>
      </w:r>
      <w:r w:rsidRPr="4016F77D">
        <w:rPr>
          <w:color w:val="000000" w:themeColor="text1"/>
        </w:rPr>
        <w:t xml:space="preserve"> </w:t>
      </w:r>
      <w:r w:rsidR="0044383B" w:rsidRPr="4016F77D">
        <w:rPr>
          <w:color w:val="000000" w:themeColor="text1"/>
        </w:rPr>
        <w:t>ei</w:t>
      </w:r>
      <w:r w:rsidR="00507029" w:rsidRPr="4016F77D">
        <w:rPr>
          <w:color w:val="000000" w:themeColor="text1"/>
        </w:rPr>
        <w:t>ght</w:t>
      </w:r>
      <w:r w:rsidR="0044383B" w:rsidRPr="4016F77D">
        <w:rPr>
          <w:color w:val="000000" w:themeColor="text1"/>
        </w:rPr>
        <w:t xml:space="preserve"> </w:t>
      </w:r>
      <w:r w:rsidRPr="4016F77D">
        <w:rPr>
          <w:color w:val="000000" w:themeColor="text1"/>
        </w:rPr>
        <w:t xml:space="preserve">audit </w:t>
      </w:r>
      <w:r>
        <w:t>reports</w:t>
      </w:r>
      <w:r w:rsidRPr="4016F77D">
        <w:rPr>
          <w:color w:val="000000" w:themeColor="text1"/>
        </w:rPr>
        <w:t xml:space="preserve"> issued by the Internal Oversight Office (IOO) for audits completed in 2024/2025</w:t>
      </w:r>
      <w:r w:rsidR="59C72B74" w:rsidRPr="4016F77D">
        <w:rPr>
          <w:color w:val="000000" w:themeColor="text1"/>
        </w:rPr>
        <w:t>,</w:t>
      </w:r>
      <w:r w:rsidRPr="4016F77D">
        <w:rPr>
          <w:color w:val="000000" w:themeColor="text1"/>
        </w:rPr>
        <w:t xml:space="preserve"> the </w:t>
      </w:r>
      <w:r w:rsidR="00760687">
        <w:rPr>
          <w:color w:val="000000" w:themeColor="text1"/>
        </w:rPr>
        <w:t>D/IOO's annual opinion</w:t>
      </w:r>
      <w:r w:rsidRPr="4016F77D">
        <w:rPr>
          <w:color w:val="000000" w:themeColor="text1"/>
        </w:rPr>
        <w:t xml:space="preserve"> on WMO’s internal control system as of </w:t>
      </w:r>
      <w:r w:rsidR="0031697B" w:rsidRPr="4016F77D">
        <w:rPr>
          <w:color w:val="000000" w:themeColor="text1"/>
        </w:rPr>
        <w:t>31 December 2024</w:t>
      </w:r>
      <w:r w:rsidR="6AB60964" w:rsidRPr="4016F77D">
        <w:rPr>
          <w:color w:val="000000" w:themeColor="text1"/>
        </w:rPr>
        <w:t>,</w:t>
      </w:r>
      <w:r w:rsidR="0031697B" w:rsidRPr="4016F77D">
        <w:rPr>
          <w:color w:val="000000" w:themeColor="text1"/>
        </w:rPr>
        <w:t xml:space="preserve"> and</w:t>
      </w:r>
      <w:r w:rsidRPr="4016F77D">
        <w:rPr>
          <w:color w:val="000000" w:themeColor="text1"/>
        </w:rPr>
        <w:t xml:space="preserve"> the IOO’s Work Plan for 2025.</w:t>
      </w:r>
    </w:p>
    <w:p w14:paraId="64EDEE8F" w14:textId="77777777" w:rsidR="598BF511" w:rsidRDefault="598BF511" w:rsidP="46F31DAC">
      <w:pPr>
        <w:pStyle w:val="WMOBodyText"/>
        <w:numPr>
          <w:ilvl w:val="0"/>
          <w:numId w:val="1"/>
        </w:numPr>
        <w:tabs>
          <w:tab w:val="left" w:pos="567"/>
        </w:tabs>
        <w:ind w:left="0" w:firstLine="0"/>
        <w:rPr>
          <w:lang w:val="en-US"/>
        </w:rPr>
      </w:pPr>
      <w:r w:rsidRPr="46F31DAC">
        <w:rPr>
          <w:lang w:val="en-US"/>
        </w:rPr>
        <w:t>The AOC received confidential briefings on complaints received and investigations undertaken by IOO</w:t>
      </w:r>
      <w:r w:rsidR="65BA64CA" w:rsidRPr="46F31DAC">
        <w:rPr>
          <w:lang w:val="en-US"/>
        </w:rPr>
        <w:t>, which reported no substantiated cases of fraud</w:t>
      </w:r>
      <w:r w:rsidR="00760687" w:rsidRPr="46F31DAC">
        <w:rPr>
          <w:lang w:val="en-US"/>
        </w:rPr>
        <w:t>. The</w:t>
      </w:r>
      <w:r w:rsidRPr="46F31DAC">
        <w:rPr>
          <w:lang w:val="en-US"/>
        </w:rPr>
        <w:t xml:space="preserve"> </w:t>
      </w:r>
      <w:r w:rsidR="1EDC0585" w:rsidRPr="46F31DAC">
        <w:rPr>
          <w:lang w:val="en-US"/>
        </w:rPr>
        <w:t>Committee</w:t>
      </w:r>
      <w:r w:rsidRPr="46F31DAC">
        <w:rPr>
          <w:lang w:val="en-US"/>
        </w:rPr>
        <w:t xml:space="preserve"> noted the number of complaints received </w:t>
      </w:r>
      <w:r>
        <w:t>by</w:t>
      </w:r>
      <w:r w:rsidRPr="46F31DAC">
        <w:rPr>
          <w:lang w:val="en-US"/>
        </w:rPr>
        <w:t xml:space="preserve"> IOO </w:t>
      </w:r>
      <w:r w:rsidR="5A6DA434" w:rsidRPr="46F31DAC">
        <w:rPr>
          <w:lang w:val="en-US"/>
        </w:rPr>
        <w:t>increased from</w:t>
      </w:r>
      <w:r w:rsidR="71FD20B3" w:rsidRPr="46F31DAC">
        <w:rPr>
          <w:lang w:val="en-US"/>
        </w:rPr>
        <w:t xml:space="preserve"> </w:t>
      </w:r>
      <w:r w:rsidR="61F90418" w:rsidRPr="46F31DAC">
        <w:rPr>
          <w:lang w:val="en-US"/>
        </w:rPr>
        <w:t xml:space="preserve">7 </w:t>
      </w:r>
      <w:r w:rsidR="049FE8F5" w:rsidRPr="46F31DAC">
        <w:rPr>
          <w:lang w:val="en-US"/>
        </w:rPr>
        <w:t xml:space="preserve">cases </w:t>
      </w:r>
      <w:r w:rsidR="61F90418" w:rsidRPr="46F31DAC">
        <w:rPr>
          <w:lang w:val="en-US"/>
        </w:rPr>
        <w:t xml:space="preserve">in 2023 to </w:t>
      </w:r>
      <w:r w:rsidR="2340A711" w:rsidRPr="46F31DAC">
        <w:rPr>
          <w:lang w:val="en-US"/>
        </w:rPr>
        <w:t>33 cases in 2024</w:t>
      </w:r>
      <w:r w:rsidR="30CF65C0" w:rsidRPr="46F31DAC">
        <w:rPr>
          <w:lang w:val="en-US"/>
        </w:rPr>
        <w:t xml:space="preserve"> and</w:t>
      </w:r>
      <w:r w:rsidR="4CF6FE4B" w:rsidRPr="46F31DAC">
        <w:rPr>
          <w:lang w:val="en-US"/>
        </w:rPr>
        <w:t xml:space="preserve"> viewed this </w:t>
      </w:r>
      <w:r w:rsidR="2FBAB6BA" w:rsidRPr="46F31DAC">
        <w:rPr>
          <w:lang w:val="en-US"/>
        </w:rPr>
        <w:t xml:space="preserve">increasing </w:t>
      </w:r>
      <w:r w:rsidR="4CF6FE4B" w:rsidRPr="46F31DAC">
        <w:rPr>
          <w:lang w:val="en-US"/>
        </w:rPr>
        <w:t>trend as a</w:t>
      </w:r>
      <w:r w:rsidR="331F2CAF" w:rsidRPr="46F31DAC">
        <w:rPr>
          <w:lang w:val="en-US"/>
        </w:rPr>
        <w:t xml:space="preserve"> positive</w:t>
      </w:r>
      <w:r w:rsidR="4CF6FE4B" w:rsidRPr="46F31DAC">
        <w:rPr>
          <w:lang w:val="en-US"/>
        </w:rPr>
        <w:t xml:space="preserve"> indicator of improved staff confidence in reporting</w:t>
      </w:r>
      <w:r w:rsidR="5DA3944B" w:rsidRPr="46F31DAC">
        <w:rPr>
          <w:lang w:val="en-US"/>
        </w:rPr>
        <w:t xml:space="preserve"> </w:t>
      </w:r>
      <w:r w:rsidR="1CD89601" w:rsidRPr="46F31DAC">
        <w:rPr>
          <w:lang w:val="en-US"/>
        </w:rPr>
        <w:t>harassment or abuse of authority.</w:t>
      </w:r>
    </w:p>
    <w:p w14:paraId="16E5DEE9" w14:textId="77777777" w:rsidR="46F31DAC" w:rsidRDefault="46F31DAC" w:rsidP="46F31DAC">
      <w:pPr>
        <w:pStyle w:val="WMOBodyText"/>
        <w:tabs>
          <w:tab w:val="left" w:pos="567"/>
        </w:tabs>
        <w:rPr>
          <w:lang w:val="en-US"/>
        </w:rPr>
      </w:pPr>
    </w:p>
    <w:p w14:paraId="0BA546E5" w14:textId="77777777" w:rsidR="00327D93" w:rsidRPr="00E87F6F" w:rsidRDefault="2E586FC6" w:rsidP="46F31DAC">
      <w:pPr>
        <w:pStyle w:val="ListParagraph"/>
        <w:numPr>
          <w:ilvl w:val="0"/>
          <w:numId w:val="1"/>
        </w:numPr>
        <w:tabs>
          <w:tab w:val="clear" w:pos="1134"/>
          <w:tab w:val="left" w:pos="567"/>
        </w:tabs>
        <w:spacing w:beforeAutospacing="1" w:afterAutospacing="1"/>
        <w:ind w:left="0" w:firstLine="0"/>
        <w:jc w:val="left"/>
        <w:rPr>
          <w:rFonts w:eastAsia="Times New Roman" w:cs="Times New Roman"/>
          <w:lang w:eastAsia="en-GB"/>
        </w:rPr>
      </w:pPr>
      <w:r w:rsidRPr="46F31DAC">
        <w:rPr>
          <w:rFonts w:eastAsia="Times New Roman" w:cs="Times New Roman"/>
          <w:lang w:eastAsia="en-GB"/>
        </w:rPr>
        <w:lastRenderedPageBreak/>
        <w:t xml:space="preserve">The AOC discussed IOO’s efforts to </w:t>
      </w:r>
      <w:r w:rsidR="00C241D7">
        <w:rPr>
          <w:rFonts w:eastAsia="Times New Roman" w:cs="Times New Roman"/>
          <w:lang w:eastAsia="en-GB"/>
        </w:rPr>
        <w:t>centralise</w:t>
      </w:r>
      <w:r w:rsidRPr="46F31DAC">
        <w:rPr>
          <w:rFonts w:eastAsia="Times New Roman" w:cs="Times New Roman"/>
          <w:lang w:eastAsia="en-GB"/>
        </w:rPr>
        <w:t xml:space="preserve"> the oversight of independent evaluations carried out by IOO </w:t>
      </w:r>
      <w:r w:rsidR="00C241D7">
        <w:rPr>
          <w:rFonts w:eastAsia="Times New Roman" w:cs="Times New Roman"/>
          <w:lang w:eastAsia="en-GB"/>
        </w:rPr>
        <w:t>and project evaluations carried out by Management. The Committee supported IOO's proposal to include the follow-up</w:t>
      </w:r>
      <w:r w:rsidRPr="46F31DAC">
        <w:rPr>
          <w:rFonts w:eastAsia="Times New Roman" w:cs="Times New Roman"/>
          <w:lang w:eastAsia="en-GB"/>
        </w:rPr>
        <w:t xml:space="preserve"> of project evaluation recommendations </w:t>
      </w:r>
      <w:r w:rsidR="00233103">
        <w:rPr>
          <w:rFonts w:eastAsia="Times New Roman" w:cs="Times New Roman"/>
          <w:lang w:eastAsia="en-GB"/>
        </w:rPr>
        <w:t>and</w:t>
      </w:r>
      <w:r w:rsidRPr="46F31DAC">
        <w:rPr>
          <w:rFonts w:eastAsia="Times New Roman" w:cs="Times New Roman"/>
          <w:lang w:eastAsia="en-GB"/>
        </w:rPr>
        <w:t xml:space="preserve"> its independent evaluation recommendations. </w:t>
      </w:r>
      <w:r w:rsidR="00C20D3D">
        <w:rPr>
          <w:rFonts w:eastAsia="Times New Roman" w:cs="Times New Roman"/>
          <w:lang w:eastAsia="en-GB"/>
        </w:rPr>
        <w:t>Also, t</w:t>
      </w:r>
      <w:r w:rsidRPr="46F31DAC">
        <w:rPr>
          <w:rFonts w:eastAsia="Times New Roman" w:cs="Times New Roman"/>
          <w:lang w:eastAsia="en-GB"/>
        </w:rPr>
        <w:t xml:space="preserve">he AOC </w:t>
      </w:r>
      <w:r w:rsidR="00233103">
        <w:rPr>
          <w:rFonts w:eastAsia="Times New Roman" w:cs="Times New Roman"/>
          <w:lang w:eastAsia="en-GB"/>
        </w:rPr>
        <w:t>endorsed</w:t>
      </w:r>
      <w:r w:rsidRPr="46F31DAC">
        <w:rPr>
          <w:rFonts w:eastAsia="Times New Roman" w:cs="Times New Roman"/>
          <w:lang w:eastAsia="en-GB"/>
        </w:rPr>
        <w:t xml:space="preserve"> the proposal to </w:t>
      </w:r>
      <w:r w:rsidR="6EC21439" w:rsidRPr="46F31DAC">
        <w:rPr>
          <w:rFonts w:eastAsia="Times New Roman" w:cs="Times New Roman"/>
          <w:lang w:eastAsia="en-GB"/>
        </w:rPr>
        <w:t>outsource</w:t>
      </w:r>
      <w:r w:rsidRPr="46F31DAC">
        <w:rPr>
          <w:rFonts w:eastAsia="Times New Roman" w:cs="Times New Roman"/>
          <w:lang w:eastAsia="en-GB"/>
        </w:rPr>
        <w:t xml:space="preserve"> the independent external evaluation of WMO’s governance structures to the Joint Inspection Unit.</w:t>
      </w:r>
    </w:p>
    <w:p w14:paraId="5E9D8626" w14:textId="77777777" w:rsidR="46F31DAC" w:rsidRDefault="46F31DAC" w:rsidP="46F31DAC">
      <w:pPr>
        <w:pStyle w:val="ListParagraph"/>
        <w:tabs>
          <w:tab w:val="clear" w:pos="1134"/>
          <w:tab w:val="left" w:pos="567"/>
        </w:tabs>
        <w:spacing w:beforeAutospacing="1" w:afterAutospacing="1"/>
        <w:ind w:left="0"/>
        <w:jc w:val="left"/>
        <w:rPr>
          <w:rFonts w:eastAsia="Times New Roman" w:cs="Times New Roman"/>
          <w:lang w:eastAsia="en-GB"/>
        </w:rPr>
      </w:pPr>
    </w:p>
    <w:p w14:paraId="5C303A2B" w14:textId="77777777" w:rsidR="00327D93" w:rsidRPr="00E87F6F" w:rsidRDefault="7A7B929A" w:rsidP="46F31DAC">
      <w:pPr>
        <w:pStyle w:val="ListParagraph"/>
        <w:numPr>
          <w:ilvl w:val="0"/>
          <w:numId w:val="1"/>
        </w:numPr>
        <w:tabs>
          <w:tab w:val="clear" w:pos="1134"/>
          <w:tab w:val="left" w:pos="567"/>
        </w:tabs>
        <w:spacing w:beforeAutospacing="1" w:afterAutospacing="1"/>
        <w:ind w:left="0" w:firstLine="0"/>
        <w:jc w:val="left"/>
        <w:rPr>
          <w:b/>
          <w:bCs/>
          <w:i/>
          <w:iCs/>
          <w:lang w:val="en-US"/>
        </w:rPr>
      </w:pPr>
      <w:r>
        <w:t>A</w:t>
      </w:r>
      <w:r w:rsidR="598BF511">
        <w:t xml:space="preserve">OC reviewed IOO’s Plan of Work for 2025 and noted that it considered the top risks confronting WMO. The </w:t>
      </w:r>
      <w:r w:rsidR="5CABDA43">
        <w:t>Committee</w:t>
      </w:r>
      <w:r w:rsidR="0A10498C">
        <w:t xml:space="preserve"> concluded that the 2025 Plan of Work adequately </w:t>
      </w:r>
      <w:r w:rsidR="00233103">
        <w:t xml:space="preserve">covers the WMO risk universe and has also requested </w:t>
      </w:r>
      <w:r w:rsidR="67B16A74">
        <w:t>periodic monitoring</w:t>
      </w:r>
      <w:r w:rsidR="017AD3E3">
        <w:t xml:space="preserve"> </w:t>
      </w:r>
      <w:r w:rsidR="591790DD">
        <w:t xml:space="preserve">to ensure </w:t>
      </w:r>
      <w:r w:rsidR="00233103">
        <w:t xml:space="preserve">the </w:t>
      </w:r>
      <w:r w:rsidR="5B05E963">
        <w:t>IOO</w:t>
      </w:r>
      <w:r w:rsidR="2FFA8418">
        <w:t xml:space="preserve"> has sufficient</w:t>
      </w:r>
      <w:r w:rsidR="67B16A74">
        <w:t xml:space="preserve"> resources to deliver the </w:t>
      </w:r>
      <w:r w:rsidR="00233103">
        <w:t>work plan</w:t>
      </w:r>
      <w:r w:rsidR="28A54E0A">
        <w:t>, particularly with the increasing number of cases reported</w:t>
      </w:r>
      <w:r w:rsidR="67B16A74">
        <w:t>.</w:t>
      </w:r>
    </w:p>
    <w:p w14:paraId="41345FB5" w14:textId="77777777" w:rsidR="00327D93" w:rsidRPr="00E87F6F" w:rsidRDefault="00327D93" w:rsidP="46F31DAC">
      <w:pPr>
        <w:pStyle w:val="ListParagraph"/>
        <w:tabs>
          <w:tab w:val="clear" w:pos="1134"/>
          <w:tab w:val="left" w:pos="567"/>
        </w:tabs>
        <w:spacing w:beforeAutospacing="1" w:afterAutospacing="1"/>
        <w:ind w:left="0"/>
        <w:jc w:val="left"/>
        <w:rPr>
          <w:b/>
          <w:bCs/>
          <w:i/>
          <w:iCs/>
          <w:lang w:val="en-US"/>
        </w:rPr>
      </w:pPr>
    </w:p>
    <w:p w14:paraId="114885AA" w14:textId="77777777" w:rsidR="00327D93" w:rsidRPr="00E87F6F" w:rsidRDefault="598BF511" w:rsidP="46F31DAC">
      <w:pPr>
        <w:pStyle w:val="ListParagraph"/>
        <w:numPr>
          <w:ilvl w:val="0"/>
          <w:numId w:val="1"/>
        </w:numPr>
        <w:tabs>
          <w:tab w:val="clear" w:pos="1134"/>
          <w:tab w:val="left" w:pos="567"/>
        </w:tabs>
        <w:spacing w:beforeAutospacing="1" w:afterAutospacing="1"/>
        <w:ind w:left="0" w:firstLine="0"/>
        <w:jc w:val="left"/>
        <w:rPr>
          <w:b/>
          <w:bCs/>
          <w:i/>
          <w:iCs/>
          <w:lang w:val="en-US"/>
        </w:rPr>
      </w:pPr>
      <w:r>
        <w:t xml:space="preserve">AOC commended IOO’s work and appreciated its contribution to the internal controls in WMO. </w:t>
      </w:r>
      <w:r w:rsidR="2FA6BBAA">
        <w:t>The Committee</w:t>
      </w:r>
      <w:r>
        <w:t xml:space="preserve"> also noted that IOO operated independently and objectively during the year.</w:t>
      </w:r>
    </w:p>
    <w:p w14:paraId="263C753E" w14:textId="77777777" w:rsidR="00327D93" w:rsidRPr="00E87F6F" w:rsidRDefault="00404836" w:rsidP="4016F77D">
      <w:pPr>
        <w:pStyle w:val="WMOBodyText"/>
        <w:tabs>
          <w:tab w:val="left" w:pos="567"/>
        </w:tabs>
        <w:rPr>
          <w:b/>
          <w:bCs/>
          <w:i/>
          <w:iCs/>
          <w:lang w:val="en-US"/>
        </w:rPr>
      </w:pPr>
      <w:r>
        <w:t xml:space="preserve"> </w:t>
      </w:r>
      <w:r w:rsidR="00327D93" w:rsidRPr="4016F77D">
        <w:rPr>
          <w:b/>
          <w:bCs/>
        </w:rPr>
        <w:t>J</w:t>
      </w:r>
      <w:r w:rsidR="19BC05B9" w:rsidRPr="4016F77D">
        <w:rPr>
          <w:b/>
          <w:bCs/>
        </w:rPr>
        <w:t xml:space="preserve">oint </w:t>
      </w:r>
      <w:r w:rsidR="00327D93" w:rsidRPr="4016F77D">
        <w:rPr>
          <w:b/>
          <w:bCs/>
        </w:rPr>
        <w:t>I</w:t>
      </w:r>
      <w:r w:rsidR="35A29861" w:rsidRPr="4016F77D">
        <w:rPr>
          <w:b/>
          <w:bCs/>
        </w:rPr>
        <w:t xml:space="preserve">nspection </w:t>
      </w:r>
      <w:r w:rsidR="00327D93" w:rsidRPr="4016F77D">
        <w:rPr>
          <w:b/>
          <w:bCs/>
        </w:rPr>
        <w:t>U</w:t>
      </w:r>
      <w:r w:rsidR="3B8993E6" w:rsidRPr="4016F77D">
        <w:rPr>
          <w:b/>
          <w:bCs/>
        </w:rPr>
        <w:t>nit (JIU)</w:t>
      </w:r>
      <w:r w:rsidR="00327D93" w:rsidRPr="4016F77D">
        <w:rPr>
          <w:b/>
          <w:bCs/>
        </w:rPr>
        <w:t xml:space="preserve"> Reports</w:t>
      </w:r>
    </w:p>
    <w:p w14:paraId="786AA4FC" w14:textId="77777777" w:rsidR="0054398A" w:rsidRPr="00E87F6F" w:rsidRDefault="00327D93" w:rsidP="00507029">
      <w:pPr>
        <w:pStyle w:val="WMOBodyText"/>
        <w:numPr>
          <w:ilvl w:val="0"/>
          <w:numId w:val="1"/>
        </w:numPr>
        <w:tabs>
          <w:tab w:val="left" w:pos="567"/>
        </w:tabs>
        <w:ind w:left="0" w:firstLine="0"/>
      </w:pPr>
      <w:r>
        <w:t xml:space="preserve">The AOC reviewed the </w:t>
      </w:r>
      <w:r w:rsidR="00C241D7">
        <w:t>Management’s follow-up actions regarding</w:t>
      </w:r>
      <w:r w:rsidR="000F6676">
        <w:t xml:space="preserve"> JIU recommendations</w:t>
      </w:r>
      <w:r>
        <w:t xml:space="preserve">. </w:t>
      </w:r>
      <w:r w:rsidR="7B878A8E">
        <w:t xml:space="preserve">WMO had accepted all JIU recommendations directed to it and had implemented approximately 65% to date, with the remainder scheduled for completion in 2025. The JIU expressed appreciation for WMO’s high acceptance and implementation rates. </w:t>
      </w:r>
      <w:r w:rsidR="6B777050">
        <w:t>Noting</w:t>
      </w:r>
      <w:r w:rsidR="7B878A8E">
        <w:t xml:space="preserve"> the adequacy of </w:t>
      </w:r>
      <w:r w:rsidR="3BFE7A03">
        <w:t>Management’s</w:t>
      </w:r>
      <w:r w:rsidR="7B878A8E">
        <w:t xml:space="preserve"> responses to the JIU recommendations</w:t>
      </w:r>
      <w:r w:rsidR="07547860">
        <w:t>, the AOC</w:t>
      </w:r>
      <w:r w:rsidR="7B878A8E">
        <w:t xml:space="preserve"> recommended </w:t>
      </w:r>
      <w:r w:rsidR="00C241D7">
        <w:t xml:space="preserve">that </w:t>
      </w:r>
      <w:r w:rsidR="7B878A8E">
        <w:t xml:space="preserve">the </w:t>
      </w:r>
      <w:r w:rsidR="4A43F173">
        <w:t xml:space="preserve">Executive Council </w:t>
      </w:r>
      <w:r w:rsidR="7B878A8E">
        <w:t>endorse Management’s responses to the JIU recommendations.</w:t>
      </w:r>
    </w:p>
    <w:p w14:paraId="2E48531B" w14:textId="77777777" w:rsidR="0054398A" w:rsidRPr="00E87F6F" w:rsidRDefault="10FA5F7B" w:rsidP="00507029">
      <w:pPr>
        <w:pStyle w:val="WMOBodyText"/>
        <w:numPr>
          <w:ilvl w:val="0"/>
          <w:numId w:val="1"/>
        </w:numPr>
        <w:tabs>
          <w:tab w:val="left" w:pos="567"/>
        </w:tabs>
        <w:ind w:left="0" w:firstLine="0"/>
      </w:pPr>
      <w:r>
        <w:t xml:space="preserve">At its 44th session, the Committee </w:t>
      </w:r>
      <w:r w:rsidR="63BDA711">
        <w:t>met</w:t>
      </w:r>
      <w:r>
        <w:t xml:space="preserve"> </w:t>
      </w:r>
      <w:r w:rsidR="4CDB28B2">
        <w:t xml:space="preserve">with </w:t>
      </w:r>
      <w:r>
        <w:t xml:space="preserve">the </w:t>
      </w:r>
      <w:r w:rsidR="3C393566">
        <w:t xml:space="preserve">current </w:t>
      </w:r>
      <w:r w:rsidR="3E4D50FA">
        <w:t xml:space="preserve">JIU </w:t>
      </w:r>
      <w:r w:rsidR="3C393566">
        <w:t>Chair</w:t>
      </w:r>
      <w:r w:rsidR="63BDA711">
        <w:t xml:space="preserve"> to </w:t>
      </w:r>
      <w:r>
        <w:t>strengthen</w:t>
      </w:r>
      <w:r w:rsidR="79D9A12E">
        <w:t xml:space="preserve"> </w:t>
      </w:r>
      <w:r>
        <w:t>institutional collaboration</w:t>
      </w:r>
      <w:r w:rsidR="67B9E4D1">
        <w:t xml:space="preserve"> </w:t>
      </w:r>
      <w:r>
        <w:t xml:space="preserve">and </w:t>
      </w:r>
      <w:r w:rsidR="2F6E6C36">
        <w:t>cooperation</w:t>
      </w:r>
      <w:r w:rsidR="56D3A52F">
        <w:t xml:space="preserve"> between AOC and JIU</w:t>
      </w:r>
      <w:r>
        <w:t>.</w:t>
      </w:r>
      <w:r w:rsidR="7E99920A">
        <w:t xml:space="preserve"> </w:t>
      </w:r>
      <w:r w:rsidR="34E7F9AF">
        <w:t xml:space="preserve">JIU supported the AOC’s </w:t>
      </w:r>
      <w:r w:rsidR="7E99920A">
        <w:t>propos</w:t>
      </w:r>
      <w:r w:rsidR="00CC558F">
        <w:t>al to</w:t>
      </w:r>
      <w:r w:rsidR="5ECABB4A">
        <w:t xml:space="preserve"> meet at least once a year and more if </w:t>
      </w:r>
      <w:r w:rsidR="00C241D7">
        <w:t xml:space="preserve">needed to enhance the cooperation and regular communication between the </w:t>
      </w:r>
      <w:r w:rsidR="3F2A1EFB">
        <w:t>two independent oversight bodies.</w:t>
      </w:r>
    </w:p>
    <w:p w14:paraId="27A8FA84" w14:textId="77777777" w:rsidR="00327D93" w:rsidRPr="00C02325" w:rsidRDefault="598BF511" w:rsidP="46F31DAC">
      <w:pPr>
        <w:pStyle w:val="WMOSubTitle1"/>
        <w:tabs>
          <w:tab w:val="left" w:pos="567"/>
        </w:tabs>
        <w:rPr>
          <w:i w:val="0"/>
        </w:rPr>
      </w:pPr>
      <w:r w:rsidRPr="46F31DAC">
        <w:rPr>
          <w:i w:val="0"/>
        </w:rPr>
        <w:t>Risk Management</w:t>
      </w:r>
      <w:r w:rsidR="7FF4EBF4" w:rsidRPr="46F31DAC">
        <w:rPr>
          <w:i w:val="0"/>
        </w:rPr>
        <w:t xml:space="preserve"> and Strategic Foresight</w:t>
      </w:r>
    </w:p>
    <w:p w14:paraId="189F6D47" w14:textId="77777777" w:rsidR="009D40D4" w:rsidRPr="00E87F6F" w:rsidRDefault="453118DD" w:rsidP="00651B22">
      <w:pPr>
        <w:pStyle w:val="WMOBodyText"/>
        <w:numPr>
          <w:ilvl w:val="0"/>
          <w:numId w:val="1"/>
        </w:numPr>
        <w:tabs>
          <w:tab w:val="left" w:pos="567"/>
        </w:tabs>
        <w:ind w:left="0" w:firstLine="0"/>
      </w:pPr>
      <w:r>
        <w:t xml:space="preserve">The </w:t>
      </w:r>
      <w:r w:rsidR="57A8FE0A">
        <w:t>AOC</w:t>
      </w:r>
      <w:r>
        <w:t xml:space="preserve"> reviewed the progress in strengthening risk management and welcomed its systematic integration into project governance and strategic planning. </w:t>
      </w:r>
      <w:r w:rsidR="79489871">
        <w:t xml:space="preserve">Management </w:t>
      </w:r>
      <w:r w:rsidR="507D238F">
        <w:t xml:space="preserve">also </w:t>
      </w:r>
      <w:r>
        <w:t xml:space="preserve">confirmed </w:t>
      </w:r>
      <w:r w:rsidR="44616CE6">
        <w:t xml:space="preserve">the </w:t>
      </w:r>
      <w:r>
        <w:t>continu</w:t>
      </w:r>
      <w:r w:rsidR="490F9153">
        <w:t>al</w:t>
      </w:r>
      <w:r>
        <w:t xml:space="preserve"> monitoring of eight top </w:t>
      </w:r>
      <w:r w:rsidR="00C241D7">
        <w:t>organisational</w:t>
      </w:r>
      <w:r>
        <w:t xml:space="preserve"> risks</w:t>
      </w:r>
      <w:r w:rsidR="564385BA">
        <w:t>. T</w:t>
      </w:r>
      <w:r w:rsidR="5035C3AA">
        <w:t xml:space="preserve">he Committee </w:t>
      </w:r>
      <w:r w:rsidR="69A7E73C">
        <w:t>look</w:t>
      </w:r>
      <w:r w:rsidR="65C5B28E">
        <w:t>s</w:t>
      </w:r>
      <w:r w:rsidR="69A7E73C">
        <w:t xml:space="preserve"> forward to overseeing the </w:t>
      </w:r>
      <w:r w:rsidR="017291FA">
        <w:t>remarkable progress in r</w:t>
      </w:r>
      <w:r w:rsidR="69A7E73C">
        <w:t xml:space="preserve">isk assessment as it </w:t>
      </w:r>
      <w:r w:rsidR="5AE2CBC2">
        <w:t xml:space="preserve">evolves </w:t>
      </w:r>
      <w:r w:rsidR="73BDE239">
        <w:t>to a higher level in its maturity model for risk assessment.</w:t>
      </w:r>
    </w:p>
    <w:p w14:paraId="372FEFAC" w14:textId="77777777" w:rsidR="00327D93" w:rsidRPr="00E87F6F" w:rsidRDefault="00C241D7" w:rsidP="4016F77D">
      <w:pPr>
        <w:pStyle w:val="WMOBodyText"/>
        <w:numPr>
          <w:ilvl w:val="0"/>
          <w:numId w:val="1"/>
        </w:numPr>
        <w:tabs>
          <w:tab w:val="left" w:pos="284"/>
          <w:tab w:val="left" w:pos="567"/>
        </w:tabs>
        <w:ind w:left="0" w:firstLine="0"/>
      </w:pPr>
      <w:r>
        <w:t>Besides</w:t>
      </w:r>
      <w:r w:rsidR="7ECC3346">
        <w:t xml:space="preserve"> risk management, t</w:t>
      </w:r>
      <w:r w:rsidR="009D40D4">
        <w:t xml:space="preserve">he </w:t>
      </w:r>
      <w:r w:rsidR="69E4EBB7">
        <w:t>AOC</w:t>
      </w:r>
      <w:r w:rsidR="009D40D4">
        <w:t xml:space="preserve"> </w:t>
      </w:r>
      <w:r w:rsidR="7978580E">
        <w:t>was briefed</w:t>
      </w:r>
      <w:r w:rsidR="0ABA4E6B">
        <w:t xml:space="preserve"> on</w:t>
      </w:r>
      <w:r w:rsidR="009D40D4">
        <w:t xml:space="preserve"> the outcomes of WMO’s strategic foresight exercises, which identified five key drivers of change to inform the next Strategic Plan. These include technological disruption, private sector growth, institutional disparities, climate-related threats, and the need for more agile governance. The Committee </w:t>
      </w:r>
      <w:r w:rsidR="3A8BE059">
        <w:t xml:space="preserve">appreciated the value of the </w:t>
      </w:r>
      <w:r w:rsidR="6067CDF5">
        <w:t>strategic</w:t>
      </w:r>
      <w:r w:rsidR="3A8BE059">
        <w:t xml:space="preserve"> foresight exercise and </w:t>
      </w:r>
      <w:r w:rsidR="009D40D4">
        <w:t xml:space="preserve">welcomed the integration of </w:t>
      </w:r>
      <w:r w:rsidR="52EE09A0">
        <w:t>its</w:t>
      </w:r>
      <w:r w:rsidR="7CD065E3">
        <w:t xml:space="preserve"> outcomes</w:t>
      </w:r>
      <w:r w:rsidR="7EE64BF9">
        <w:t xml:space="preserve"> </w:t>
      </w:r>
      <w:r w:rsidR="009D40D4">
        <w:t xml:space="preserve">into the </w:t>
      </w:r>
      <w:r w:rsidR="436B8E1B">
        <w:t xml:space="preserve">next WMO </w:t>
      </w:r>
      <w:r w:rsidR="4C0F01CF">
        <w:t>S</w:t>
      </w:r>
      <w:r w:rsidR="436B8E1B">
        <w:t>tr</w:t>
      </w:r>
      <w:r w:rsidR="36203428">
        <w:t>ategic Plan</w:t>
      </w:r>
      <w:r w:rsidR="436B8E1B">
        <w:t>.</w:t>
      </w:r>
    </w:p>
    <w:p w14:paraId="450A59C6" w14:textId="77777777" w:rsidR="00327D93" w:rsidRPr="00E87F6F" w:rsidRDefault="598BF511" w:rsidP="4016F77D">
      <w:pPr>
        <w:pStyle w:val="WMOBodyText"/>
        <w:tabs>
          <w:tab w:val="left" w:pos="284"/>
          <w:tab w:val="left" w:pos="567"/>
        </w:tabs>
      </w:pPr>
      <w:r w:rsidRPr="46F31DAC">
        <w:rPr>
          <w:b/>
          <w:bCs/>
        </w:rPr>
        <w:t>Ethics</w:t>
      </w:r>
      <w:r>
        <w:t xml:space="preserve"> </w:t>
      </w:r>
    </w:p>
    <w:p w14:paraId="3922D4ED" w14:textId="77777777" w:rsidR="004125FD" w:rsidRDefault="00327D93" w:rsidP="008D3126">
      <w:pPr>
        <w:pStyle w:val="WMOBodyText"/>
        <w:numPr>
          <w:ilvl w:val="0"/>
          <w:numId w:val="1"/>
        </w:numPr>
        <w:tabs>
          <w:tab w:val="left" w:pos="567"/>
        </w:tabs>
        <w:spacing w:before="100" w:beforeAutospacing="1" w:after="100" w:afterAutospacing="1"/>
        <w:ind w:left="0" w:firstLine="0"/>
        <w:rPr>
          <w:rFonts w:eastAsia="Times New Roman" w:cs="Times New Roman"/>
          <w:b/>
          <w:bCs/>
          <w:lang w:eastAsia="en-GB"/>
        </w:rPr>
      </w:pPr>
      <w:r>
        <w:t xml:space="preserve">The AOC reviewed the report on the UN Ethics Office activities </w:t>
      </w:r>
      <w:r w:rsidR="00404836">
        <w:t>for 2024</w:t>
      </w:r>
      <w:r>
        <w:t>, including the annual financial disclosure programme</w:t>
      </w:r>
      <w:r w:rsidR="00404836">
        <w:t>.</w:t>
      </w:r>
      <w:r w:rsidR="6B1AC2E5">
        <w:t xml:space="preserve"> </w:t>
      </w:r>
      <w:r w:rsidR="5BFBD8B7">
        <w:t xml:space="preserve">The </w:t>
      </w:r>
      <w:r w:rsidR="00226933" w:rsidRPr="004125FD">
        <w:rPr>
          <w:rFonts w:eastAsia="Times New Roman" w:cs="Times New Roman"/>
          <w:lang w:eastAsia="en-GB"/>
        </w:rPr>
        <w:t xml:space="preserve">UN Ethics Office provides ethics services to WMO under a service-level agreement renewed through December 2026. The Committee noted with satisfaction the strengthened collaboration between the </w:t>
      </w:r>
      <w:r w:rsidR="5024311C" w:rsidRPr="004125FD">
        <w:rPr>
          <w:rFonts w:eastAsia="Times New Roman" w:cs="Times New Roman"/>
          <w:lang w:eastAsia="en-GB"/>
        </w:rPr>
        <w:t xml:space="preserve">UN </w:t>
      </w:r>
      <w:r w:rsidR="00226933" w:rsidRPr="004125FD">
        <w:rPr>
          <w:rFonts w:eastAsia="Times New Roman" w:cs="Times New Roman"/>
          <w:lang w:eastAsia="en-GB"/>
        </w:rPr>
        <w:t xml:space="preserve">Ethics Office and WMO and commended </w:t>
      </w:r>
      <w:r w:rsidR="00C20D3D" w:rsidRPr="004125FD">
        <w:rPr>
          <w:rFonts w:eastAsia="Times New Roman" w:cs="Times New Roman"/>
          <w:lang w:eastAsia="en-GB"/>
        </w:rPr>
        <w:t>increased</w:t>
      </w:r>
      <w:r w:rsidR="00226933" w:rsidRPr="004125FD">
        <w:rPr>
          <w:rFonts w:eastAsia="Times New Roman" w:cs="Times New Roman"/>
          <w:lang w:eastAsia="en-GB"/>
        </w:rPr>
        <w:t xml:space="preserve"> engagement from staff and management in </w:t>
      </w:r>
      <w:r w:rsidR="00226933" w:rsidRPr="004125FD">
        <w:rPr>
          <w:rFonts w:eastAsia="Times New Roman" w:cs="Times New Roman"/>
          <w:lang w:eastAsia="en-GB"/>
        </w:rPr>
        <w:lastRenderedPageBreak/>
        <w:t>seeking ethics-related guidance.</w:t>
      </w:r>
      <w:r w:rsidR="00226933">
        <w:br/>
      </w:r>
    </w:p>
    <w:p w14:paraId="084F5354" w14:textId="77777777" w:rsidR="00327D93" w:rsidRPr="004125FD" w:rsidRDefault="2DEDC064" w:rsidP="004125FD">
      <w:pPr>
        <w:pStyle w:val="WMOBodyText"/>
        <w:tabs>
          <w:tab w:val="left" w:pos="567"/>
        </w:tabs>
        <w:spacing w:before="100" w:beforeAutospacing="1" w:after="100" w:afterAutospacing="1"/>
        <w:rPr>
          <w:rFonts w:eastAsia="Times New Roman" w:cs="Times New Roman"/>
          <w:b/>
          <w:bCs/>
          <w:lang w:eastAsia="en-GB"/>
        </w:rPr>
      </w:pPr>
      <w:r w:rsidRPr="004125FD">
        <w:rPr>
          <w:rFonts w:eastAsia="Times New Roman" w:cs="Times New Roman"/>
          <w:b/>
          <w:bCs/>
          <w:lang w:eastAsia="en-GB"/>
        </w:rPr>
        <w:t>Executive Council’s Recommendations</w:t>
      </w:r>
    </w:p>
    <w:p w14:paraId="663C7F13" w14:textId="77777777" w:rsidR="00327D93" w:rsidRPr="00E87F6F" w:rsidRDefault="24A8551C" w:rsidP="00C3001C">
      <w:pPr>
        <w:pStyle w:val="ListParagraph"/>
        <w:numPr>
          <w:ilvl w:val="0"/>
          <w:numId w:val="1"/>
        </w:numPr>
        <w:tabs>
          <w:tab w:val="clear" w:pos="1134"/>
          <w:tab w:val="left" w:pos="567"/>
        </w:tabs>
        <w:spacing w:beforeAutospacing="1" w:afterAutospacing="1"/>
        <w:ind w:left="0" w:firstLine="0"/>
        <w:jc w:val="left"/>
        <w:rPr>
          <w:rFonts w:eastAsia="Verdana" w:cs="Verdana"/>
        </w:rPr>
      </w:pPr>
      <w:r w:rsidRPr="4016F77D">
        <w:rPr>
          <w:rFonts w:eastAsia="Verdana" w:cs="Verdana"/>
        </w:rPr>
        <w:t>At the last</w:t>
      </w:r>
      <w:r w:rsidR="66648A86" w:rsidRPr="4016F77D">
        <w:rPr>
          <w:rFonts w:eastAsia="Verdana" w:cs="Verdana"/>
        </w:rPr>
        <w:t xml:space="preserve"> Executive Council </w:t>
      </w:r>
      <w:r w:rsidR="615812E3" w:rsidRPr="4016F77D">
        <w:rPr>
          <w:rFonts w:eastAsia="Verdana" w:cs="Verdana"/>
        </w:rPr>
        <w:t xml:space="preserve">meeting with the AOC in June 2024, </w:t>
      </w:r>
      <w:r w:rsidR="7AB13597" w:rsidRPr="4016F77D">
        <w:rPr>
          <w:rFonts w:eastAsia="Verdana" w:cs="Verdana"/>
        </w:rPr>
        <w:t>t</w:t>
      </w:r>
      <w:r w:rsidR="615812E3" w:rsidRPr="4016F77D">
        <w:rPr>
          <w:rFonts w:eastAsia="Verdana" w:cs="Verdana"/>
        </w:rPr>
        <w:t>he Executive Council</w:t>
      </w:r>
      <w:r w:rsidR="3C7C3584" w:rsidRPr="4016F77D">
        <w:rPr>
          <w:rFonts w:eastAsia="Verdana" w:cs="Verdana"/>
        </w:rPr>
        <w:t xml:space="preserve"> recommended </w:t>
      </w:r>
      <w:r w:rsidR="342BEB43" w:rsidRPr="4016F77D">
        <w:rPr>
          <w:rFonts w:eastAsia="Verdana" w:cs="Verdana"/>
        </w:rPr>
        <w:t xml:space="preserve">that the </w:t>
      </w:r>
      <w:r w:rsidR="3C7C3584" w:rsidRPr="4016F77D">
        <w:rPr>
          <w:rFonts w:eastAsia="Verdana" w:cs="Verdana"/>
        </w:rPr>
        <w:t>AOC</w:t>
      </w:r>
      <w:r w:rsidR="196DE7E6" w:rsidRPr="4016F77D">
        <w:rPr>
          <w:rFonts w:eastAsia="Verdana" w:cs="Verdana"/>
        </w:rPr>
        <w:t>: (a)</w:t>
      </w:r>
      <w:r w:rsidR="510FF530" w:rsidRPr="4016F77D">
        <w:rPr>
          <w:rFonts w:eastAsia="Verdana" w:cs="Verdana"/>
        </w:rPr>
        <w:t xml:space="preserve"> undertake self-assessments annually and independent peer review at an appropriate time</w:t>
      </w:r>
      <w:r w:rsidR="003418ED">
        <w:rPr>
          <w:rFonts w:eastAsia="Verdana" w:cs="Verdana"/>
        </w:rPr>
        <w:t>,</w:t>
      </w:r>
      <w:r w:rsidR="510FF530" w:rsidRPr="4016F77D">
        <w:rPr>
          <w:rFonts w:eastAsia="Verdana" w:cs="Verdana"/>
        </w:rPr>
        <w:t xml:space="preserve"> (b) </w:t>
      </w:r>
      <w:r w:rsidR="029E428A" w:rsidRPr="4016F77D">
        <w:rPr>
          <w:rFonts w:eastAsia="Verdana" w:cs="Verdana"/>
        </w:rPr>
        <w:t>incorporat</w:t>
      </w:r>
      <w:r w:rsidR="0B93B450" w:rsidRPr="4016F77D">
        <w:rPr>
          <w:rFonts w:eastAsia="Verdana" w:cs="Verdana"/>
        </w:rPr>
        <w:t>e</w:t>
      </w:r>
      <w:r w:rsidR="029E428A" w:rsidRPr="4016F77D">
        <w:rPr>
          <w:rFonts w:eastAsia="Verdana" w:cs="Verdana"/>
        </w:rPr>
        <w:t xml:space="preserve"> additional information </w:t>
      </w:r>
      <w:r w:rsidR="41B01844" w:rsidRPr="4016F77D">
        <w:rPr>
          <w:rFonts w:eastAsia="Verdana" w:cs="Verdana"/>
        </w:rPr>
        <w:t>regarding</w:t>
      </w:r>
      <w:r w:rsidR="029E428A" w:rsidRPr="4016F77D">
        <w:rPr>
          <w:rFonts w:eastAsia="Verdana" w:cs="Verdana"/>
        </w:rPr>
        <w:t xml:space="preserve"> its observations on the financial status of WMO in its fut</w:t>
      </w:r>
      <w:r w:rsidR="46932CDD" w:rsidRPr="4016F77D">
        <w:rPr>
          <w:rFonts w:eastAsia="Verdana" w:cs="Verdana"/>
        </w:rPr>
        <w:t>u</w:t>
      </w:r>
      <w:r w:rsidR="029E428A" w:rsidRPr="4016F77D">
        <w:rPr>
          <w:rFonts w:eastAsia="Verdana" w:cs="Verdana"/>
        </w:rPr>
        <w:t xml:space="preserve">re reports, (c) include the status of AOC </w:t>
      </w:r>
      <w:r w:rsidR="622EA828" w:rsidRPr="4016F77D">
        <w:rPr>
          <w:rFonts w:eastAsia="Verdana" w:cs="Verdana"/>
        </w:rPr>
        <w:t>outstanding recommendations</w:t>
      </w:r>
      <w:r w:rsidR="003418ED">
        <w:rPr>
          <w:rFonts w:eastAsia="Verdana" w:cs="Verdana"/>
        </w:rPr>
        <w:t>,</w:t>
      </w:r>
      <w:r w:rsidR="622EA828" w:rsidRPr="4016F77D">
        <w:rPr>
          <w:rFonts w:eastAsia="Verdana" w:cs="Verdana"/>
        </w:rPr>
        <w:t xml:space="preserve"> and </w:t>
      </w:r>
      <w:r w:rsidR="261878EA" w:rsidRPr="4016F77D">
        <w:rPr>
          <w:rFonts w:eastAsia="Verdana" w:cs="Verdana"/>
        </w:rPr>
        <w:t xml:space="preserve">(d) </w:t>
      </w:r>
      <w:r w:rsidR="622EA828" w:rsidRPr="4016F77D">
        <w:rPr>
          <w:rFonts w:eastAsia="Verdana" w:cs="Verdana"/>
        </w:rPr>
        <w:t xml:space="preserve">set up a </w:t>
      </w:r>
      <w:r w:rsidR="4DA381E1" w:rsidRPr="4016F77D">
        <w:rPr>
          <w:rFonts w:eastAsia="Verdana" w:cs="Verdana"/>
        </w:rPr>
        <w:t>direct</w:t>
      </w:r>
      <w:r w:rsidR="622EA828" w:rsidRPr="4016F77D">
        <w:rPr>
          <w:rFonts w:eastAsia="Verdana" w:cs="Verdana"/>
        </w:rPr>
        <w:t xml:space="preserve"> working contacts with the Joint Inspection Unit</w:t>
      </w:r>
      <w:r w:rsidR="194FED72" w:rsidRPr="4016F77D">
        <w:rPr>
          <w:rFonts w:eastAsia="Verdana" w:cs="Verdana"/>
        </w:rPr>
        <w:t xml:space="preserve">, which was </w:t>
      </w:r>
      <w:r w:rsidR="1CF0FBBD" w:rsidRPr="4016F77D">
        <w:rPr>
          <w:rFonts w:eastAsia="Verdana" w:cs="Verdana"/>
        </w:rPr>
        <w:t>initiated</w:t>
      </w:r>
      <w:r w:rsidR="194FED72" w:rsidRPr="4016F77D">
        <w:rPr>
          <w:rFonts w:eastAsia="Verdana" w:cs="Verdana"/>
        </w:rPr>
        <w:t xml:space="preserve"> in May 2025. The status of the remaining three </w:t>
      </w:r>
      <w:r w:rsidR="6861477A" w:rsidRPr="4016F77D">
        <w:rPr>
          <w:rFonts w:eastAsia="Verdana" w:cs="Verdana"/>
        </w:rPr>
        <w:t>recommendations</w:t>
      </w:r>
      <w:r w:rsidR="194FED72" w:rsidRPr="4016F77D">
        <w:rPr>
          <w:rFonts w:eastAsia="Verdana" w:cs="Verdana"/>
        </w:rPr>
        <w:t xml:space="preserve"> by the Executive Committee </w:t>
      </w:r>
      <w:r w:rsidR="00BA5C46">
        <w:rPr>
          <w:rFonts w:eastAsia="Verdana" w:cs="Verdana"/>
        </w:rPr>
        <w:t>is</w:t>
      </w:r>
      <w:r w:rsidR="194FED72" w:rsidRPr="4016F77D">
        <w:rPr>
          <w:rFonts w:eastAsia="Verdana" w:cs="Verdana"/>
        </w:rPr>
        <w:t>:</w:t>
      </w:r>
    </w:p>
    <w:p w14:paraId="39E3F9A2" w14:textId="77777777" w:rsidR="00327D93" w:rsidRPr="00E87F6F" w:rsidRDefault="7B8136CE" w:rsidP="000D5A99">
      <w:pPr>
        <w:spacing w:before="240"/>
        <w:jc w:val="left"/>
        <w:rPr>
          <w:rFonts w:eastAsia="Verdana" w:cs="Verdana"/>
          <w:b/>
          <w:bCs/>
        </w:rPr>
      </w:pPr>
      <w:r w:rsidRPr="4016F77D">
        <w:rPr>
          <w:rFonts w:eastAsia="Verdana" w:cs="Verdana"/>
          <w:b/>
          <w:bCs/>
        </w:rPr>
        <w:t>Self-Assessment</w:t>
      </w:r>
    </w:p>
    <w:p w14:paraId="79EC8DBF" w14:textId="77777777" w:rsidR="008D351E" w:rsidRPr="008D351E" w:rsidRDefault="7B8136CE" w:rsidP="005048DA">
      <w:pPr>
        <w:pStyle w:val="WMOBodyText"/>
        <w:numPr>
          <w:ilvl w:val="0"/>
          <w:numId w:val="1"/>
        </w:numPr>
        <w:tabs>
          <w:tab w:val="left" w:pos="567"/>
        </w:tabs>
        <w:ind w:left="0" w:firstLine="0"/>
        <w:rPr>
          <w:b/>
          <w:bCs/>
        </w:rPr>
      </w:pPr>
      <w:r>
        <w:t xml:space="preserve">The AOC decided to postpone </w:t>
      </w:r>
      <w:r w:rsidR="0FFB7E7F">
        <w:t xml:space="preserve">the annual self-assessment </w:t>
      </w:r>
      <w:r w:rsidR="00BA5C46">
        <w:t>from 2025 to 2026, when there is more certainty from the recent UN80 system-wide reforms review initiated by the UN Secretary-General to make the United Nations more effective, nimble,</w:t>
      </w:r>
      <w:r w:rsidR="10BB0802">
        <w:t xml:space="preserve"> and fit for today’s challenges</w:t>
      </w:r>
      <w:r w:rsidR="004125FD">
        <w:t>,</w:t>
      </w:r>
      <w:r w:rsidR="00EE3F67">
        <w:t xml:space="preserve"> </w:t>
      </w:r>
      <w:r w:rsidR="00EE3F67" w:rsidRPr="00EE3F67">
        <w:t xml:space="preserve">and on account of the changes to the </w:t>
      </w:r>
      <w:r w:rsidR="008D351E">
        <w:t>committee's membership</w:t>
      </w:r>
      <w:r w:rsidR="00EE3F67" w:rsidRPr="00EE3F67">
        <w:t xml:space="preserve"> that took place at the end of 2024.</w:t>
      </w:r>
      <w:r w:rsidR="20809C62">
        <w:t xml:space="preserve"> </w:t>
      </w:r>
    </w:p>
    <w:p w14:paraId="0306C6AF" w14:textId="77777777" w:rsidR="00327D93" w:rsidRPr="008D351E" w:rsidRDefault="79F5B3B9" w:rsidP="008D351E">
      <w:pPr>
        <w:pStyle w:val="WMOBodyText"/>
        <w:tabs>
          <w:tab w:val="left" w:pos="567"/>
        </w:tabs>
        <w:rPr>
          <w:b/>
          <w:bCs/>
        </w:rPr>
      </w:pPr>
      <w:r w:rsidRPr="008D351E">
        <w:rPr>
          <w:rFonts w:ascii="Roboto Condensed" w:eastAsia="Roboto Condensed" w:hAnsi="Roboto Condensed" w:cs="Roboto Condensed"/>
          <w:b/>
          <w:bCs/>
          <w:color w:val="000000" w:themeColor="text1"/>
        </w:rPr>
        <w:t>F</w:t>
      </w:r>
      <w:r w:rsidRPr="008D351E">
        <w:rPr>
          <w:b/>
          <w:bCs/>
        </w:rPr>
        <w:t>inancial Status of WMO</w:t>
      </w:r>
    </w:p>
    <w:p w14:paraId="3600E970" w14:textId="77777777" w:rsidR="00327D93" w:rsidRPr="00E87F6F" w:rsidRDefault="654EC4E1" w:rsidP="6EB183B7">
      <w:pPr>
        <w:pStyle w:val="WMOBodyText"/>
        <w:numPr>
          <w:ilvl w:val="0"/>
          <w:numId w:val="1"/>
        </w:numPr>
        <w:tabs>
          <w:tab w:val="left" w:pos="567"/>
        </w:tabs>
        <w:ind w:left="0" w:firstLine="0"/>
      </w:pPr>
      <w:r>
        <w:t xml:space="preserve"> </w:t>
      </w:r>
      <w:r w:rsidR="602A759F">
        <w:t xml:space="preserve">The </w:t>
      </w:r>
      <w:r w:rsidR="3F73CAB4">
        <w:t xml:space="preserve">AOC </w:t>
      </w:r>
      <w:r w:rsidR="602A759F">
        <w:t xml:space="preserve">has </w:t>
      </w:r>
      <w:r w:rsidR="74A32EA2">
        <w:t>requested</w:t>
      </w:r>
      <w:r w:rsidR="3FC1550B">
        <w:t xml:space="preserve"> Management to</w:t>
      </w:r>
      <w:r w:rsidR="083F75E4">
        <w:t xml:space="preserve"> provide</w:t>
      </w:r>
      <w:r w:rsidR="15A8FB5A">
        <w:t xml:space="preserve"> the Committee</w:t>
      </w:r>
      <w:r w:rsidR="083F75E4">
        <w:t xml:space="preserve"> with </w:t>
      </w:r>
      <w:r w:rsidR="2857A0F7">
        <w:t xml:space="preserve">the </w:t>
      </w:r>
      <w:r w:rsidR="083F75E4">
        <w:t>quarterly financial statements</w:t>
      </w:r>
      <w:r w:rsidR="6A144682">
        <w:t xml:space="preserve"> </w:t>
      </w:r>
      <w:r w:rsidR="56F10F7F">
        <w:t xml:space="preserve">submitted </w:t>
      </w:r>
      <w:r w:rsidR="6A144682">
        <w:t>to Member States</w:t>
      </w:r>
      <w:r w:rsidR="0B8999F9">
        <w:t xml:space="preserve"> to provide an adequate basis to </w:t>
      </w:r>
      <w:r w:rsidR="13542C60">
        <w:t xml:space="preserve">allow it to assess the financial status of WMO and </w:t>
      </w:r>
      <w:r w:rsidR="0B8999F9">
        <w:t xml:space="preserve">address the </w:t>
      </w:r>
      <w:r w:rsidR="4B7D988C">
        <w:t>Executive Committe</w:t>
      </w:r>
      <w:r w:rsidR="008F62E1">
        <w:t>e</w:t>
      </w:r>
      <w:r w:rsidR="4B7D988C">
        <w:t xml:space="preserve"> recommendation for the AOC to incorporate additional information regarding its observations on the financial status of WMO in its future reports</w:t>
      </w:r>
      <w:r w:rsidR="09FF5F62">
        <w:t>, as from 2025</w:t>
      </w:r>
      <w:r w:rsidR="6A144682">
        <w:t>.</w:t>
      </w:r>
    </w:p>
    <w:p w14:paraId="5C083A91" w14:textId="77777777" w:rsidR="00327D93" w:rsidRPr="00E87F6F" w:rsidRDefault="4B1A3304" w:rsidP="6EB183B7">
      <w:pPr>
        <w:pStyle w:val="WMOBodyText"/>
        <w:numPr>
          <w:ilvl w:val="0"/>
          <w:numId w:val="1"/>
        </w:numPr>
        <w:tabs>
          <w:tab w:val="left" w:pos="567"/>
        </w:tabs>
        <w:ind w:left="0" w:firstLine="0"/>
      </w:pPr>
      <w:r>
        <w:t>Management</w:t>
      </w:r>
      <w:r w:rsidR="577DCA4E">
        <w:t xml:space="preserve"> </w:t>
      </w:r>
      <w:r w:rsidR="76669388">
        <w:t xml:space="preserve">briefed the AOC </w:t>
      </w:r>
      <w:r w:rsidR="5C538FDA">
        <w:t xml:space="preserve">on </w:t>
      </w:r>
      <w:r w:rsidR="577DCA4E">
        <w:t>the actions being considered to mitigate</w:t>
      </w:r>
      <w:r w:rsidR="722304C8">
        <w:t xml:space="preserve"> the </w:t>
      </w:r>
      <w:r w:rsidR="3003C532">
        <w:t>liquidity and financial</w:t>
      </w:r>
      <w:r w:rsidR="66631572">
        <w:t xml:space="preserve"> exposure</w:t>
      </w:r>
      <w:r w:rsidR="722304C8">
        <w:t xml:space="preserve"> </w:t>
      </w:r>
      <w:r w:rsidR="36ED9A07">
        <w:t>from</w:t>
      </w:r>
      <w:r w:rsidR="722304C8">
        <w:t xml:space="preserve"> the current and future funding </w:t>
      </w:r>
      <w:r w:rsidR="7C93813B">
        <w:t>reductio</w:t>
      </w:r>
      <w:r w:rsidR="4BB1396F">
        <w:t>n</w:t>
      </w:r>
      <w:r w:rsidR="0BB6D608">
        <w:t>s</w:t>
      </w:r>
      <w:r w:rsidR="38F2B044">
        <w:t>,</w:t>
      </w:r>
      <w:r w:rsidR="0BB6D608">
        <w:t xml:space="preserve"> and</w:t>
      </w:r>
      <w:r w:rsidR="04719BFD">
        <w:t xml:space="preserve"> </w:t>
      </w:r>
      <w:r w:rsidR="153A1FAE">
        <w:t>the Committee</w:t>
      </w:r>
      <w:r w:rsidR="04719BFD">
        <w:t xml:space="preserve"> has </w:t>
      </w:r>
      <w:r w:rsidR="6183F365">
        <w:t xml:space="preserve">also </w:t>
      </w:r>
      <w:r w:rsidR="0BB6D608">
        <w:t xml:space="preserve">requested </w:t>
      </w:r>
      <w:r w:rsidR="4AB27EC2">
        <w:t xml:space="preserve">regular </w:t>
      </w:r>
      <w:r w:rsidR="04EABB76">
        <w:t xml:space="preserve">and timely </w:t>
      </w:r>
      <w:r w:rsidR="0AB998AA">
        <w:t>updates</w:t>
      </w:r>
      <w:r w:rsidR="4AB27EC2">
        <w:t xml:space="preserve"> on </w:t>
      </w:r>
      <w:r w:rsidR="402E1FA6">
        <w:t xml:space="preserve">Management </w:t>
      </w:r>
      <w:r w:rsidR="0C356F63">
        <w:t>decisions</w:t>
      </w:r>
      <w:r w:rsidR="4AB27EC2">
        <w:t xml:space="preserve"> </w:t>
      </w:r>
      <w:r w:rsidR="4D28C1D3">
        <w:t>and their implementation.</w:t>
      </w:r>
    </w:p>
    <w:p w14:paraId="42BBA517" w14:textId="77777777" w:rsidR="00327D93" w:rsidRPr="00E87F6F" w:rsidRDefault="69C30766" w:rsidP="6EB183B7">
      <w:pPr>
        <w:pStyle w:val="WMOBodyText"/>
        <w:tabs>
          <w:tab w:val="left" w:pos="567"/>
        </w:tabs>
      </w:pPr>
      <w:r w:rsidRPr="6EB183B7">
        <w:rPr>
          <w:b/>
          <w:bCs/>
        </w:rPr>
        <w:t>AOC Recommendations</w:t>
      </w:r>
    </w:p>
    <w:p w14:paraId="33B94A15" w14:textId="77777777" w:rsidR="00327D93" w:rsidRPr="00E87F6F" w:rsidRDefault="69C30766" w:rsidP="4016F77D">
      <w:pPr>
        <w:pStyle w:val="WMOBodyText"/>
        <w:numPr>
          <w:ilvl w:val="0"/>
          <w:numId w:val="1"/>
        </w:numPr>
        <w:tabs>
          <w:tab w:val="left" w:pos="567"/>
        </w:tabs>
        <w:ind w:left="0" w:firstLine="0"/>
        <w:rPr>
          <w:rFonts w:eastAsia="Times New Roman" w:cs="Times New Roman"/>
          <w:lang w:eastAsia="en-GB"/>
        </w:rPr>
      </w:pPr>
      <w:r w:rsidRPr="4016F77D">
        <w:rPr>
          <w:color w:val="000000" w:themeColor="text1"/>
        </w:rPr>
        <w:t xml:space="preserve">The AOC </w:t>
      </w:r>
      <w:r w:rsidR="7E59F684" w:rsidRPr="4016F77D">
        <w:rPr>
          <w:color w:val="000000" w:themeColor="text1"/>
        </w:rPr>
        <w:t>had 28 recommendations</w:t>
      </w:r>
      <w:r w:rsidR="005B2B14">
        <w:rPr>
          <w:color w:val="000000" w:themeColor="text1"/>
        </w:rPr>
        <w:t xml:space="preserve">, 11 of which remain open, and most are scheduled for implementation by the end of 2025. The Committee reviewed and was satisfied with the Management actions supporting the </w:t>
      </w:r>
      <w:r w:rsidR="72727565">
        <w:t>implementation of the recommendations</w:t>
      </w:r>
      <w:r w:rsidR="005B2B14">
        <w:t xml:space="preserve"> and </w:t>
      </w:r>
      <w:r w:rsidR="72727565">
        <w:t>confirmed the implementation status of the re</w:t>
      </w:r>
      <w:r w:rsidR="266BEF2C">
        <w:t>maining</w:t>
      </w:r>
      <w:r w:rsidR="72727565">
        <w:t xml:space="preserve"> 11 recommendations.</w:t>
      </w:r>
    </w:p>
    <w:p w14:paraId="665BE297" w14:textId="77777777" w:rsidR="00327D93" w:rsidRPr="00BA5C46" w:rsidRDefault="598BF511" w:rsidP="46F31DAC">
      <w:pPr>
        <w:pStyle w:val="WMOSubTitle1"/>
        <w:tabs>
          <w:tab w:val="left" w:pos="567"/>
        </w:tabs>
        <w:spacing w:beforeAutospacing="1" w:afterAutospacing="1"/>
        <w:rPr>
          <w:i w:val="0"/>
          <w:iCs/>
        </w:rPr>
      </w:pPr>
      <w:r w:rsidRPr="00BA5C46">
        <w:rPr>
          <w:i w:val="0"/>
          <w:iCs/>
        </w:rPr>
        <w:t>Other Matters</w:t>
      </w:r>
    </w:p>
    <w:p w14:paraId="6E10A853" w14:textId="77777777" w:rsidR="00327D93" w:rsidRPr="00E87F6F" w:rsidRDefault="00327D93" w:rsidP="00327D93">
      <w:pPr>
        <w:pStyle w:val="WMOBodyText"/>
        <w:numPr>
          <w:ilvl w:val="0"/>
          <w:numId w:val="1"/>
        </w:numPr>
        <w:tabs>
          <w:tab w:val="left" w:pos="567"/>
        </w:tabs>
        <w:ind w:left="0" w:firstLine="0"/>
      </w:pPr>
      <w:r>
        <w:t xml:space="preserve">Overall, the </w:t>
      </w:r>
      <w:r w:rsidR="4C2D2754">
        <w:t>AO</w:t>
      </w:r>
      <w:r w:rsidR="5AAFC5AE">
        <w:t>C</w:t>
      </w:r>
      <w:r>
        <w:t xml:space="preserve"> </w:t>
      </w:r>
      <w:r w:rsidR="5626C467">
        <w:t>continues</w:t>
      </w:r>
      <w:r>
        <w:t xml:space="preserve"> to discharge its mandate as per the terms of reference and looks forward to supporting the WMO Executive Council and Senior Management</w:t>
      </w:r>
      <w:r w:rsidR="069A16AD">
        <w:t xml:space="preserve"> as WMO </w:t>
      </w:r>
      <w:r w:rsidR="07582BF2">
        <w:t xml:space="preserve">surges </w:t>
      </w:r>
      <w:r w:rsidR="40AA72E7">
        <w:t xml:space="preserve">forward into the future, </w:t>
      </w:r>
      <w:r w:rsidR="75DC53BB">
        <w:t xml:space="preserve">including </w:t>
      </w:r>
      <w:r w:rsidR="46413CB2">
        <w:t>standing ready to support</w:t>
      </w:r>
      <w:r w:rsidR="08EEA2AB">
        <w:t xml:space="preserve"> </w:t>
      </w:r>
      <w:r w:rsidR="4C6C61AD">
        <w:t xml:space="preserve">the </w:t>
      </w:r>
      <w:r w:rsidR="5AD3396A">
        <w:t>newly established</w:t>
      </w:r>
      <w:r w:rsidR="4C6C61AD">
        <w:t xml:space="preserve"> </w:t>
      </w:r>
      <w:r w:rsidR="23420873">
        <w:t xml:space="preserve">WMO </w:t>
      </w:r>
      <w:r w:rsidR="4C6C61AD">
        <w:t xml:space="preserve">Management Resilience Group </w:t>
      </w:r>
      <w:r w:rsidR="03BFB5A8">
        <w:t>in its</w:t>
      </w:r>
      <w:r w:rsidR="4C6C61AD">
        <w:t xml:space="preserve"> review </w:t>
      </w:r>
      <w:r w:rsidR="2875AF5A">
        <w:t xml:space="preserve">of </w:t>
      </w:r>
      <w:r w:rsidR="4C6C61AD">
        <w:t>the</w:t>
      </w:r>
      <w:r w:rsidR="60E4DE14">
        <w:t xml:space="preserve"> long-term sustainability </w:t>
      </w:r>
      <w:r w:rsidR="39DD4CDA">
        <w:t>and</w:t>
      </w:r>
      <w:r w:rsidR="60E4DE14">
        <w:t xml:space="preserve"> </w:t>
      </w:r>
      <w:r w:rsidR="68324D47">
        <w:t>contribution</w:t>
      </w:r>
      <w:r w:rsidR="154B0757">
        <w:t xml:space="preserve"> to the</w:t>
      </w:r>
      <w:r w:rsidR="5994E16B">
        <w:t xml:space="preserve"> broader UN80 Initiative</w:t>
      </w:r>
      <w:r w:rsidR="00C20D3D">
        <w:t>.</w:t>
      </w:r>
    </w:p>
    <w:p w14:paraId="10166075" w14:textId="77777777" w:rsidR="00EA5045" w:rsidRPr="00E87F6F" w:rsidRDefault="00EA5045" w:rsidP="00327D93">
      <w:pPr>
        <w:pStyle w:val="Heading2"/>
        <w:rPr>
          <w:sz w:val="20"/>
          <w:szCs w:val="20"/>
          <w:lang w:eastAsia="en-US"/>
        </w:rPr>
      </w:pPr>
    </w:p>
    <w:sectPr w:rsidR="00EA5045" w:rsidRPr="00E87F6F" w:rsidSect="0020095E">
      <w:headerReference w:type="even" r:id="rId16"/>
      <w:headerReference w:type="default" r:id="rId17"/>
      <w:headerReference w:type="first" r:id="rId18"/>
      <w:pgSz w:w="11907" w:h="16840" w:code="9"/>
      <w:pgMar w:top="1440" w:right="1440" w:bottom="1440" w:left="1440"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6482" w14:textId="77777777" w:rsidR="00A605B5" w:rsidRDefault="00A605B5">
      <w:r>
        <w:separator/>
      </w:r>
    </w:p>
    <w:p w14:paraId="02DD99B6" w14:textId="77777777" w:rsidR="00A605B5" w:rsidRDefault="00A605B5"/>
    <w:p w14:paraId="0A5E7D5D" w14:textId="77777777" w:rsidR="00A605B5" w:rsidRDefault="00A605B5"/>
  </w:endnote>
  <w:endnote w:type="continuationSeparator" w:id="0">
    <w:p w14:paraId="117DAE5D" w14:textId="77777777" w:rsidR="00A605B5" w:rsidRDefault="00A605B5">
      <w:r>
        <w:continuationSeparator/>
      </w:r>
    </w:p>
    <w:p w14:paraId="1D96D238" w14:textId="77777777" w:rsidR="00A605B5" w:rsidRDefault="00A605B5"/>
    <w:p w14:paraId="3E0B7D2B" w14:textId="77777777" w:rsidR="00A605B5" w:rsidRDefault="00A605B5"/>
  </w:endnote>
  <w:endnote w:type="continuationNotice" w:id="1">
    <w:p w14:paraId="440F5ED9" w14:textId="77777777" w:rsidR="00A605B5" w:rsidRDefault="00A6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Roboto Condensed">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CF48" w14:textId="77777777" w:rsidR="00A605B5" w:rsidRDefault="00A605B5">
      <w:r>
        <w:separator/>
      </w:r>
    </w:p>
  </w:footnote>
  <w:footnote w:type="continuationSeparator" w:id="0">
    <w:p w14:paraId="2C3A47DD" w14:textId="77777777" w:rsidR="00A605B5" w:rsidRDefault="00A605B5">
      <w:r>
        <w:continuationSeparator/>
      </w:r>
    </w:p>
    <w:p w14:paraId="52E3A78D" w14:textId="77777777" w:rsidR="00A605B5" w:rsidRDefault="00A605B5"/>
    <w:p w14:paraId="029FA3E5" w14:textId="77777777" w:rsidR="00A605B5" w:rsidRDefault="00A605B5"/>
  </w:footnote>
  <w:footnote w:type="continuationNotice" w:id="1">
    <w:p w14:paraId="7ABDC09B" w14:textId="77777777" w:rsidR="00A605B5" w:rsidRDefault="00A60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BAD4" w14:textId="77777777" w:rsidR="000C76AD" w:rsidRDefault="00DF7AE4">
    <w:pPr>
      <w:pStyle w:val="Header"/>
    </w:pPr>
    <w:r>
      <w:rPr>
        <w:noProof/>
      </w:rPr>
      <w:pict w14:anchorId="08B5E1D6">
        <v:shapetype 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4A592ED">
        <v:shape id="_x0000_s1025" type="#_x0000_m1026" style="position:absolute;left:0;text-align:left;margin-left:0;margin-top:0;width:595.3pt;height:550pt;z-index:-251649024;mso-position-horizontal:left;mso-position-horizontal-relative:page;mso-position-vertical:top;mso-position-vertical-relative:page" o:preferrelative="t" o:allowincell="f">
          <v:imagedata r:id="rId1" o:title="docx4j-logo"/>
          <w10:wrap anchorx="page" anchory="page"/>
        </v:shape>
      </w:pict>
    </w:r>
  </w:p>
  <w:p w14:paraId="32452145" w14:textId="77777777" w:rsidR="00DF7AE4" w:rsidRDefault="00DF7AE4"/>
  <w:p w14:paraId="211A2E22" w14:textId="77777777" w:rsidR="000C76AD" w:rsidRDefault="00DF7AE4">
    <w:pPr>
      <w:pStyle w:val="Header"/>
    </w:pPr>
    <w:r>
      <w:rPr>
        <w:noProof/>
      </w:rPr>
      <w:pict w14:anchorId="1F02732E">
        <v:shapetype id="_x0000_m102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3C096076">
        <v:shape id="_x0000_s1027" type="#_x0000_m1028" style="position:absolute;left:0;text-align:left;margin-left:0;margin-top:0;width:595.3pt;height:550pt;z-index:-251650048;mso-position-horizontal:left;mso-position-horizontal-relative:page;mso-position-vertical:top;mso-position-vertical-relative:page" o:preferrelative="t" o:allowincell="f">
          <v:imagedata r:id="rId1" o:title="docx4j-logo"/>
          <w10:wrap anchorx="page" anchory="page"/>
        </v:shape>
      </w:pict>
    </w:r>
  </w:p>
  <w:p w14:paraId="04688E92" w14:textId="77777777" w:rsidR="00DF7AE4" w:rsidRDefault="00DF7AE4"/>
  <w:p w14:paraId="3A321DB4" w14:textId="77777777" w:rsidR="000C76AD" w:rsidRDefault="00DF7AE4">
    <w:pPr>
      <w:pStyle w:val="Header"/>
    </w:pPr>
    <w:r>
      <w:rPr>
        <w:noProof/>
      </w:rPr>
      <w:pict w14:anchorId="4EC663E9">
        <v:shapetype id="_x0000_m103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BF3C1B4">
        <v:shape id="_x0000_s1029" type="#_x0000_m1030" style="position:absolute;left:0;text-align:left;margin-left:0;margin-top:0;width:595.3pt;height:550pt;z-index:-251651072;mso-position-horizontal:left;mso-position-horizontal-relative:page;mso-position-vertical:top;mso-position-vertical-relative:page" o:preferrelative="t" o:allowincell="f">
          <v:imagedata r:id="rId1" o:title="docx4j-logo"/>
          <w10:wrap anchorx="page" anchory="page"/>
        </v:shape>
      </w:pict>
    </w:r>
  </w:p>
  <w:p w14:paraId="2FAA51BE" w14:textId="77777777" w:rsidR="00DF7AE4" w:rsidRDefault="00DF7AE4"/>
  <w:p w14:paraId="340EA736" w14:textId="77777777" w:rsidR="0012702D" w:rsidRDefault="00DF7AE4">
    <w:pPr>
      <w:pStyle w:val="Header"/>
    </w:pPr>
    <w:r>
      <w:rPr>
        <w:noProof/>
      </w:rPr>
      <w:pict w14:anchorId="415AE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0;width:50pt;height:50pt;z-index:251648000;visibility:hidden">
          <v:path gradientshapeok="f"/>
          <o:lock v:ext="edit" selection="t"/>
        </v:shape>
      </w:pict>
    </w:r>
    <w:r>
      <w:pict w14:anchorId="57F5A228">
        <v:shapetype id="_x0000_m104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055AC5DB">
        <v:shape id="WordPictureWatermark835936646" o:spid="_x0000_s1042" type="#_x0000_m1043" style="position:absolute;left:0;text-align:left;margin-left:0;margin-top:0;width:595.3pt;height:550pt;z-index:-251656192;mso-position-horizontal:left;mso-position-horizontal-relative:page;mso-position-vertical:top;mso-position-vertical-relative:page" o:preferrelative="t" o:allowincell="f">
          <v:imagedata r:id="rId1" o:title="docx4j-logo"/>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445D" w14:textId="77777777" w:rsidR="00A432CD" w:rsidRDefault="00EA5045" w:rsidP="00B72444">
    <w:pPr>
      <w:pStyle w:val="Header"/>
    </w:pPr>
    <w:r>
      <w:t>EC-79/INF. 8.5(1)</w:t>
    </w:r>
    <w:r w:rsidR="00A432CD" w:rsidRPr="00C2459D">
      <w:t xml:space="preserve">,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DF7AE4">
      <w:pict w14:anchorId="0665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50048;visibility:hidden;mso-position-horizontal-relative:text;mso-position-vertical-relative:text">
          <v:path gradientshapeok="f"/>
          <o:lock v:ext="edit" selection="t"/>
        </v:shape>
      </w:pict>
    </w:r>
    <w:r w:rsidR="00DF7AE4">
      <w:pict w14:anchorId="6F1F4809">
        <v:shape id="_x0000_s1040" type="#_x0000_t75" style="position:absolute;left:0;text-align:left;margin-left:0;margin-top:0;width:50pt;height:50pt;z-index:251651072;visibility:hidden;mso-position-horizontal-relative:text;mso-position-vertical-relative:text">
          <v:path gradientshapeok="f"/>
          <o:lock v:ext="edit" selection="t"/>
        </v:shape>
      </w:pict>
    </w:r>
    <w:r w:rsidR="00DF7AE4">
      <w:pict w14:anchorId="1E1B642D">
        <v:shapetype id="_x0000_m103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DF7AE4">
      <w:pict w14:anchorId="1BDEE333">
        <v:shape id="_x0000_s1038" type="#_x0000_m1039" style="position:absolute;left:0;text-align:left;margin-left:0;margin-top:0;width:595.3pt;height:550pt;z-index:-251655168;mso-position-horizontal:left;mso-position-horizontal-relative:page;mso-position-vertical:top;mso-position-vertical-relative:page" o:preferrelative="t" o:allowincell="f">
          <v:imagedata r:id="rId1" o:title="docx4j-logo"/>
          <w10:wrap anchorx="page" anchory="page"/>
        </v:shape>
      </w:pict>
    </w:r>
    <w:r w:rsidR="00DF7AE4">
      <w:pict w14:anchorId="50BECEA1">
        <v:shapetype id="_x0000_m103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DF7AE4">
      <w:pict w14:anchorId="4309CBAF">
        <v:shape id="_x0000_s1036" type="#_x0000_m1037" style="position:absolute;left:0;text-align:left;margin-left:0;margin-top:0;width:595.3pt;height:550pt;z-index:-251654144;mso-position-horizontal:left;mso-position-horizontal-relative:page;mso-position-vertical:top;mso-position-vertical-relative:page" o:preferrelative="t" o:allowincell="f">
          <v:imagedata r:id="rId1" o:title="docx4j-logo"/>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14BA" w14:textId="77777777" w:rsidR="0012702D" w:rsidRDefault="00DF7AE4">
    <w:pPr>
      <w:pStyle w:val="Header"/>
    </w:pPr>
    <w:r>
      <w:rPr>
        <w:noProof/>
      </w:rPr>
      <w:pict w14:anchorId="69D7C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50pt;height:50pt;z-index:251654144;visibility:hidden">
          <v:path gradientshapeok="f"/>
          <o:lock v:ext="edit" selection="t"/>
        </v:shape>
      </w:pict>
    </w:r>
    <w:r>
      <w:pict w14:anchorId="14F57D9C">
        <v:shapetype id="_x0000_m103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28E080AC">
        <v:shape id="_x0000_s1033" type="#_x0000_m1034" style="position:absolute;left:0;text-align:left;margin-left:0;margin-top:0;width:595.3pt;height:550pt;z-index:-251653120;mso-position-horizontal:left;mso-position-horizontal-relative:page;mso-position-vertical:top;mso-position-vertical-relative:page" o:preferrelative="t" o:allowincell="f">
          <v:imagedata r:id="rId1" o:title="docx4j-logo"/>
          <w10:wrap anchorx="page" anchory="page"/>
        </v:shape>
      </w:pict>
    </w:r>
    <w:r>
      <w:pict w14:anchorId="47B50666">
        <v:shapetype id="_x0000_m103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06C34E93">
        <v:shape id="_x0000_s1031" type="#_x0000_m1032" style="position:absolute;left:0;text-align:left;margin-left:0;margin-top:0;width:595.3pt;height:550pt;z-index:-251652096;mso-position-horizontal:left;mso-position-horizontal-relative:page;mso-position-vertical:top;mso-position-vertical-relative:page" o:preferrelative="t" o:allowincell="f">
          <v:imagedata r:id="rId1" o:title="docx4j-logo"/>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3AD9"/>
    <w:multiLevelType w:val="hybridMultilevel"/>
    <w:tmpl w:val="AEA20C52"/>
    <w:lvl w:ilvl="0" w:tplc="61DA4F36">
      <w:start w:val="1"/>
      <w:numFmt w:val="decimal"/>
      <w:lvlText w:val="%1."/>
      <w:lvlJc w:val="left"/>
      <w:pPr>
        <w:ind w:left="720" w:hanging="360"/>
      </w:pPr>
      <w:rPr>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2B1A25"/>
    <w:multiLevelType w:val="hybridMultilevel"/>
    <w:tmpl w:val="4B1CF2A6"/>
    <w:lvl w:ilvl="0" w:tplc="61DA4F36">
      <w:start w:val="1"/>
      <w:numFmt w:val="decimal"/>
      <w:lvlText w:val="%1."/>
      <w:lvlJc w:val="left"/>
      <w:pPr>
        <w:ind w:left="720" w:hanging="360"/>
      </w:pPr>
      <w:rPr>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560BA2"/>
    <w:multiLevelType w:val="hybridMultilevel"/>
    <w:tmpl w:val="082AB19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3F1193"/>
    <w:multiLevelType w:val="hybridMultilevel"/>
    <w:tmpl w:val="7518A966"/>
    <w:lvl w:ilvl="0" w:tplc="EC086FE0">
      <w:start w:val="1"/>
      <w:numFmt w:val="lowerLetter"/>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65638"/>
    <w:multiLevelType w:val="hybridMultilevel"/>
    <w:tmpl w:val="A8CE630C"/>
    <w:lvl w:ilvl="0" w:tplc="61DA4F36">
      <w:start w:val="1"/>
      <w:numFmt w:val="decimal"/>
      <w:lvlText w:val="%1."/>
      <w:lvlJc w:val="left"/>
      <w:pPr>
        <w:ind w:left="644" w:hanging="360"/>
      </w:pPr>
      <w:rPr>
        <w:b w:val="0"/>
        <w:bCs w:val="0"/>
        <w:i w:val="0"/>
        <w:iCs w:val="0"/>
      </w:rPr>
    </w:lvl>
    <w:lvl w:ilvl="1" w:tplc="1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A71087A"/>
    <w:multiLevelType w:val="hybridMultilevel"/>
    <w:tmpl w:val="36DCFC5A"/>
    <w:lvl w:ilvl="0" w:tplc="FFFFFFFF">
      <w:start w:val="1"/>
      <w:numFmt w:val="decimal"/>
      <w:lvlText w:val="%1."/>
      <w:lvlJc w:val="left"/>
      <w:pPr>
        <w:ind w:left="502"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6057363">
    <w:abstractNumId w:val="4"/>
  </w:num>
  <w:num w:numId="2" w16cid:durableId="1302538351">
    <w:abstractNumId w:val="3"/>
  </w:num>
  <w:num w:numId="3" w16cid:durableId="1820464408">
    <w:abstractNumId w:val="5"/>
  </w:num>
  <w:num w:numId="4" w16cid:durableId="1380982556">
    <w:abstractNumId w:val="2"/>
  </w:num>
  <w:num w:numId="5" w16cid:durableId="1939481842">
    <w:abstractNumId w:val="0"/>
  </w:num>
  <w:num w:numId="6" w16cid:durableId="3240877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45"/>
    <w:rsid w:val="0000066B"/>
    <w:rsid w:val="00005301"/>
    <w:rsid w:val="000133EE"/>
    <w:rsid w:val="00017F7F"/>
    <w:rsid w:val="000206A8"/>
    <w:rsid w:val="00027205"/>
    <w:rsid w:val="0003137A"/>
    <w:rsid w:val="00041171"/>
    <w:rsid w:val="00041727"/>
    <w:rsid w:val="0004226F"/>
    <w:rsid w:val="000429F8"/>
    <w:rsid w:val="0004562E"/>
    <w:rsid w:val="00050F8E"/>
    <w:rsid w:val="000518BB"/>
    <w:rsid w:val="00056DE1"/>
    <w:rsid w:val="00056FD4"/>
    <w:rsid w:val="000573AD"/>
    <w:rsid w:val="0006123B"/>
    <w:rsid w:val="00064F6B"/>
    <w:rsid w:val="000715FC"/>
    <w:rsid w:val="00072F17"/>
    <w:rsid w:val="000731AA"/>
    <w:rsid w:val="00074513"/>
    <w:rsid w:val="00074736"/>
    <w:rsid w:val="000806D8"/>
    <w:rsid w:val="00082C80"/>
    <w:rsid w:val="00083847"/>
    <w:rsid w:val="00083C36"/>
    <w:rsid w:val="00084D58"/>
    <w:rsid w:val="00092CAE"/>
    <w:rsid w:val="000950B8"/>
    <w:rsid w:val="00095E48"/>
    <w:rsid w:val="00098B08"/>
    <w:rsid w:val="000A184E"/>
    <w:rsid w:val="000A4F1C"/>
    <w:rsid w:val="000A69BF"/>
    <w:rsid w:val="000C0F69"/>
    <w:rsid w:val="000C225A"/>
    <w:rsid w:val="000C6781"/>
    <w:rsid w:val="000C76AD"/>
    <w:rsid w:val="000D0753"/>
    <w:rsid w:val="000D5A99"/>
    <w:rsid w:val="000E3B9A"/>
    <w:rsid w:val="000E4925"/>
    <w:rsid w:val="000F5E49"/>
    <w:rsid w:val="000F6676"/>
    <w:rsid w:val="000F7A87"/>
    <w:rsid w:val="00102EAE"/>
    <w:rsid w:val="001047DC"/>
    <w:rsid w:val="00105D2E"/>
    <w:rsid w:val="00111BFD"/>
    <w:rsid w:val="0011498B"/>
    <w:rsid w:val="00115E3A"/>
    <w:rsid w:val="00120147"/>
    <w:rsid w:val="00123140"/>
    <w:rsid w:val="00123D94"/>
    <w:rsid w:val="0012702D"/>
    <w:rsid w:val="00127493"/>
    <w:rsid w:val="00130BBC"/>
    <w:rsid w:val="0013164F"/>
    <w:rsid w:val="001320BC"/>
    <w:rsid w:val="00133B6D"/>
    <w:rsid w:val="00133D13"/>
    <w:rsid w:val="00150DBD"/>
    <w:rsid w:val="00154EF7"/>
    <w:rsid w:val="00156F9B"/>
    <w:rsid w:val="0016219E"/>
    <w:rsid w:val="00162235"/>
    <w:rsid w:val="00163BA3"/>
    <w:rsid w:val="00166B31"/>
    <w:rsid w:val="00167D54"/>
    <w:rsid w:val="00176AB5"/>
    <w:rsid w:val="00180771"/>
    <w:rsid w:val="00190854"/>
    <w:rsid w:val="001923DE"/>
    <w:rsid w:val="001930A3"/>
    <w:rsid w:val="00196EB8"/>
    <w:rsid w:val="001A25F0"/>
    <w:rsid w:val="001A341E"/>
    <w:rsid w:val="001B0EA6"/>
    <w:rsid w:val="001B1CDF"/>
    <w:rsid w:val="001B2EC4"/>
    <w:rsid w:val="001B56F4"/>
    <w:rsid w:val="001C5462"/>
    <w:rsid w:val="001D265C"/>
    <w:rsid w:val="001D3062"/>
    <w:rsid w:val="001D3CFB"/>
    <w:rsid w:val="001D559B"/>
    <w:rsid w:val="001D6302"/>
    <w:rsid w:val="001E2C22"/>
    <w:rsid w:val="001E740C"/>
    <w:rsid w:val="001E7DD0"/>
    <w:rsid w:val="001F1BDA"/>
    <w:rsid w:val="001F3E4C"/>
    <w:rsid w:val="0020095E"/>
    <w:rsid w:val="0020728D"/>
    <w:rsid w:val="00210BFE"/>
    <w:rsid w:val="00210D30"/>
    <w:rsid w:val="00216E17"/>
    <w:rsid w:val="002204FD"/>
    <w:rsid w:val="00221020"/>
    <w:rsid w:val="00223014"/>
    <w:rsid w:val="00226933"/>
    <w:rsid w:val="00227029"/>
    <w:rsid w:val="002308B5"/>
    <w:rsid w:val="00233103"/>
    <w:rsid w:val="00233C0B"/>
    <w:rsid w:val="00234A34"/>
    <w:rsid w:val="00245842"/>
    <w:rsid w:val="0025255D"/>
    <w:rsid w:val="00255EE3"/>
    <w:rsid w:val="00256B3D"/>
    <w:rsid w:val="0026743C"/>
    <w:rsid w:val="00270480"/>
    <w:rsid w:val="00272189"/>
    <w:rsid w:val="00273673"/>
    <w:rsid w:val="0027543E"/>
    <w:rsid w:val="002779AF"/>
    <w:rsid w:val="002823D8"/>
    <w:rsid w:val="0028531A"/>
    <w:rsid w:val="00285446"/>
    <w:rsid w:val="00290082"/>
    <w:rsid w:val="00295593"/>
    <w:rsid w:val="002A354F"/>
    <w:rsid w:val="002A386C"/>
    <w:rsid w:val="002A54D3"/>
    <w:rsid w:val="002B09DF"/>
    <w:rsid w:val="002B2D7F"/>
    <w:rsid w:val="002B540D"/>
    <w:rsid w:val="002B7A7E"/>
    <w:rsid w:val="002C30BC"/>
    <w:rsid w:val="002C5965"/>
    <w:rsid w:val="002C5E15"/>
    <w:rsid w:val="002C7A88"/>
    <w:rsid w:val="002C7AB9"/>
    <w:rsid w:val="002D232B"/>
    <w:rsid w:val="002D2759"/>
    <w:rsid w:val="002D2EEB"/>
    <w:rsid w:val="002D5DB4"/>
    <w:rsid w:val="002D5E00"/>
    <w:rsid w:val="002D6DAC"/>
    <w:rsid w:val="002E261D"/>
    <w:rsid w:val="002E3FAD"/>
    <w:rsid w:val="002E4E16"/>
    <w:rsid w:val="002F6DAC"/>
    <w:rsid w:val="00300738"/>
    <w:rsid w:val="00301E8C"/>
    <w:rsid w:val="00305FC8"/>
    <w:rsid w:val="00307DDD"/>
    <w:rsid w:val="00310174"/>
    <w:rsid w:val="003143C9"/>
    <w:rsid w:val="003146E9"/>
    <w:rsid w:val="00314D5D"/>
    <w:rsid w:val="0031697B"/>
    <w:rsid w:val="00320009"/>
    <w:rsid w:val="0032424A"/>
    <w:rsid w:val="003245D3"/>
    <w:rsid w:val="003251F5"/>
    <w:rsid w:val="00327D93"/>
    <w:rsid w:val="00330AA3"/>
    <w:rsid w:val="00331584"/>
    <w:rsid w:val="00331964"/>
    <w:rsid w:val="00334987"/>
    <w:rsid w:val="00336FEB"/>
    <w:rsid w:val="0033B592"/>
    <w:rsid w:val="00340C69"/>
    <w:rsid w:val="003418ED"/>
    <w:rsid w:val="00342E34"/>
    <w:rsid w:val="0036535A"/>
    <w:rsid w:val="00371CF1"/>
    <w:rsid w:val="0037222D"/>
    <w:rsid w:val="00373128"/>
    <w:rsid w:val="003733B5"/>
    <w:rsid w:val="003750C1"/>
    <w:rsid w:val="0038051E"/>
    <w:rsid w:val="00380AF7"/>
    <w:rsid w:val="00386956"/>
    <w:rsid w:val="00394A05"/>
    <w:rsid w:val="00397770"/>
    <w:rsid w:val="00397880"/>
    <w:rsid w:val="003A7016"/>
    <w:rsid w:val="003B0C08"/>
    <w:rsid w:val="003B0DF4"/>
    <w:rsid w:val="003C17A5"/>
    <w:rsid w:val="003C1843"/>
    <w:rsid w:val="003C2B2F"/>
    <w:rsid w:val="003C336B"/>
    <w:rsid w:val="003D1552"/>
    <w:rsid w:val="003D34C7"/>
    <w:rsid w:val="003E35A6"/>
    <w:rsid w:val="003E381F"/>
    <w:rsid w:val="003E4046"/>
    <w:rsid w:val="003F003A"/>
    <w:rsid w:val="003F125B"/>
    <w:rsid w:val="003F6DC3"/>
    <w:rsid w:val="003F7B3F"/>
    <w:rsid w:val="0040293C"/>
    <w:rsid w:val="00404836"/>
    <w:rsid w:val="004058AD"/>
    <w:rsid w:val="0041078D"/>
    <w:rsid w:val="004125FD"/>
    <w:rsid w:val="0041464A"/>
    <w:rsid w:val="00415903"/>
    <w:rsid w:val="004169CC"/>
    <w:rsid w:val="00416F97"/>
    <w:rsid w:val="004177AA"/>
    <w:rsid w:val="00425173"/>
    <w:rsid w:val="0042542B"/>
    <w:rsid w:val="0043039B"/>
    <w:rsid w:val="00432ED0"/>
    <w:rsid w:val="00435980"/>
    <w:rsid w:val="00436197"/>
    <w:rsid w:val="004423FE"/>
    <w:rsid w:val="0044383B"/>
    <w:rsid w:val="00445C35"/>
    <w:rsid w:val="00451C0D"/>
    <w:rsid w:val="00454B41"/>
    <w:rsid w:val="004561A8"/>
    <w:rsid w:val="0045663A"/>
    <w:rsid w:val="0046344E"/>
    <w:rsid w:val="004667E7"/>
    <w:rsid w:val="00466E57"/>
    <w:rsid w:val="004672CF"/>
    <w:rsid w:val="00470DEF"/>
    <w:rsid w:val="00474B37"/>
    <w:rsid w:val="00475797"/>
    <w:rsid w:val="00476D0A"/>
    <w:rsid w:val="00482E1E"/>
    <w:rsid w:val="00491024"/>
    <w:rsid w:val="0049253B"/>
    <w:rsid w:val="004A140B"/>
    <w:rsid w:val="004A34DB"/>
    <w:rsid w:val="004A372D"/>
    <w:rsid w:val="004A4B47"/>
    <w:rsid w:val="004A7EDD"/>
    <w:rsid w:val="004B0EC9"/>
    <w:rsid w:val="004B7BAA"/>
    <w:rsid w:val="004C2DF7"/>
    <w:rsid w:val="004C4E0B"/>
    <w:rsid w:val="004C50F1"/>
    <w:rsid w:val="004D13F3"/>
    <w:rsid w:val="004D36F5"/>
    <w:rsid w:val="004D497E"/>
    <w:rsid w:val="004E0123"/>
    <w:rsid w:val="004E4809"/>
    <w:rsid w:val="004E4CC3"/>
    <w:rsid w:val="004E5985"/>
    <w:rsid w:val="004E6352"/>
    <w:rsid w:val="004E6460"/>
    <w:rsid w:val="004F1A68"/>
    <w:rsid w:val="004F6B46"/>
    <w:rsid w:val="00503600"/>
    <w:rsid w:val="0050425E"/>
    <w:rsid w:val="00507029"/>
    <w:rsid w:val="00507E45"/>
    <w:rsid w:val="00511999"/>
    <w:rsid w:val="005126FD"/>
    <w:rsid w:val="005145D6"/>
    <w:rsid w:val="00521EA5"/>
    <w:rsid w:val="00525B80"/>
    <w:rsid w:val="0053098F"/>
    <w:rsid w:val="005345A8"/>
    <w:rsid w:val="00536B2E"/>
    <w:rsid w:val="0054398A"/>
    <w:rsid w:val="00546D8E"/>
    <w:rsid w:val="00553738"/>
    <w:rsid w:val="00553F7E"/>
    <w:rsid w:val="00554A76"/>
    <w:rsid w:val="00560340"/>
    <w:rsid w:val="005615B6"/>
    <w:rsid w:val="0056646F"/>
    <w:rsid w:val="00571AE1"/>
    <w:rsid w:val="00581B28"/>
    <w:rsid w:val="00582AD8"/>
    <w:rsid w:val="005859C2"/>
    <w:rsid w:val="00592267"/>
    <w:rsid w:val="0059421F"/>
    <w:rsid w:val="005A136D"/>
    <w:rsid w:val="005B0AE2"/>
    <w:rsid w:val="005B17BB"/>
    <w:rsid w:val="005B1F2C"/>
    <w:rsid w:val="005B2B14"/>
    <w:rsid w:val="005B5F3C"/>
    <w:rsid w:val="005C41F2"/>
    <w:rsid w:val="005D03D9"/>
    <w:rsid w:val="005D1EE8"/>
    <w:rsid w:val="005D2E74"/>
    <w:rsid w:val="005D5495"/>
    <w:rsid w:val="005D56AE"/>
    <w:rsid w:val="005D651C"/>
    <w:rsid w:val="005D666D"/>
    <w:rsid w:val="005E3A59"/>
    <w:rsid w:val="00602DB3"/>
    <w:rsid w:val="00604802"/>
    <w:rsid w:val="00615AB0"/>
    <w:rsid w:val="00616247"/>
    <w:rsid w:val="0061778C"/>
    <w:rsid w:val="006328BB"/>
    <w:rsid w:val="0063469C"/>
    <w:rsid w:val="00636B90"/>
    <w:rsid w:val="0064738B"/>
    <w:rsid w:val="00647EB2"/>
    <w:rsid w:val="006508EA"/>
    <w:rsid w:val="00651B22"/>
    <w:rsid w:val="006525E0"/>
    <w:rsid w:val="00653069"/>
    <w:rsid w:val="00667E86"/>
    <w:rsid w:val="00674ADD"/>
    <w:rsid w:val="0068392D"/>
    <w:rsid w:val="00683F38"/>
    <w:rsid w:val="00693430"/>
    <w:rsid w:val="00697DB5"/>
    <w:rsid w:val="006A1B33"/>
    <w:rsid w:val="006A492A"/>
    <w:rsid w:val="006B5C72"/>
    <w:rsid w:val="006B7C5A"/>
    <w:rsid w:val="006C289D"/>
    <w:rsid w:val="006D0310"/>
    <w:rsid w:val="006D17F9"/>
    <w:rsid w:val="006D2009"/>
    <w:rsid w:val="006D5576"/>
    <w:rsid w:val="006E2E23"/>
    <w:rsid w:val="006E3E8B"/>
    <w:rsid w:val="006E766D"/>
    <w:rsid w:val="006F073A"/>
    <w:rsid w:val="006F4B29"/>
    <w:rsid w:val="006F576A"/>
    <w:rsid w:val="006F6CE9"/>
    <w:rsid w:val="00703F90"/>
    <w:rsid w:val="0070517C"/>
    <w:rsid w:val="00705C9F"/>
    <w:rsid w:val="007158D3"/>
    <w:rsid w:val="00716951"/>
    <w:rsid w:val="00717B70"/>
    <w:rsid w:val="00720F6B"/>
    <w:rsid w:val="00727806"/>
    <w:rsid w:val="0073063D"/>
    <w:rsid w:val="00730ADA"/>
    <w:rsid w:val="00732C37"/>
    <w:rsid w:val="00735D9E"/>
    <w:rsid w:val="00745A09"/>
    <w:rsid w:val="00751EAF"/>
    <w:rsid w:val="00754CF7"/>
    <w:rsid w:val="00757B0D"/>
    <w:rsid w:val="00760687"/>
    <w:rsid w:val="00761320"/>
    <w:rsid w:val="0076444E"/>
    <w:rsid w:val="007651B1"/>
    <w:rsid w:val="007666EB"/>
    <w:rsid w:val="00767CE1"/>
    <w:rsid w:val="00771A68"/>
    <w:rsid w:val="00773339"/>
    <w:rsid w:val="00773E9F"/>
    <w:rsid w:val="007744D2"/>
    <w:rsid w:val="0078294B"/>
    <w:rsid w:val="00784300"/>
    <w:rsid w:val="00786136"/>
    <w:rsid w:val="007A41A4"/>
    <w:rsid w:val="007A6F6B"/>
    <w:rsid w:val="007B05CF"/>
    <w:rsid w:val="007C1253"/>
    <w:rsid w:val="007C212A"/>
    <w:rsid w:val="007C2A7F"/>
    <w:rsid w:val="007C2E1B"/>
    <w:rsid w:val="007C3991"/>
    <w:rsid w:val="007C4D04"/>
    <w:rsid w:val="007D5B3C"/>
    <w:rsid w:val="007E7D21"/>
    <w:rsid w:val="007E7DBD"/>
    <w:rsid w:val="007F482F"/>
    <w:rsid w:val="007F6ABE"/>
    <w:rsid w:val="007F7C94"/>
    <w:rsid w:val="00802016"/>
    <w:rsid w:val="0080398D"/>
    <w:rsid w:val="00804A01"/>
    <w:rsid w:val="00805174"/>
    <w:rsid w:val="00806385"/>
    <w:rsid w:val="00807CC5"/>
    <w:rsid w:val="00807ED7"/>
    <w:rsid w:val="0081312A"/>
    <w:rsid w:val="00814CC6"/>
    <w:rsid w:val="0082224C"/>
    <w:rsid w:val="00826D53"/>
    <w:rsid w:val="008273AA"/>
    <w:rsid w:val="00831751"/>
    <w:rsid w:val="00833369"/>
    <w:rsid w:val="00835B42"/>
    <w:rsid w:val="00842A4E"/>
    <w:rsid w:val="00843631"/>
    <w:rsid w:val="00844AC2"/>
    <w:rsid w:val="00846D31"/>
    <w:rsid w:val="00847D99"/>
    <w:rsid w:val="0085038E"/>
    <w:rsid w:val="0085230A"/>
    <w:rsid w:val="00855757"/>
    <w:rsid w:val="00860B9A"/>
    <w:rsid w:val="008612AA"/>
    <w:rsid w:val="0086271D"/>
    <w:rsid w:val="0086420B"/>
    <w:rsid w:val="00864DBF"/>
    <w:rsid w:val="00865AE2"/>
    <w:rsid w:val="008663C8"/>
    <w:rsid w:val="0088163A"/>
    <w:rsid w:val="00885D9D"/>
    <w:rsid w:val="00887828"/>
    <w:rsid w:val="00890B84"/>
    <w:rsid w:val="00893376"/>
    <w:rsid w:val="0089601F"/>
    <w:rsid w:val="008970B8"/>
    <w:rsid w:val="0089733F"/>
    <w:rsid w:val="008A1585"/>
    <w:rsid w:val="008A5623"/>
    <w:rsid w:val="008A7313"/>
    <w:rsid w:val="008A7D91"/>
    <w:rsid w:val="008B7FC7"/>
    <w:rsid w:val="008C2EF8"/>
    <w:rsid w:val="008C4337"/>
    <w:rsid w:val="008C4F06"/>
    <w:rsid w:val="008D0C90"/>
    <w:rsid w:val="008D351E"/>
    <w:rsid w:val="008E1E4A"/>
    <w:rsid w:val="008F0615"/>
    <w:rsid w:val="008F103E"/>
    <w:rsid w:val="008F1FDB"/>
    <w:rsid w:val="008F2BC7"/>
    <w:rsid w:val="008F36FB"/>
    <w:rsid w:val="008F62E1"/>
    <w:rsid w:val="00902004"/>
    <w:rsid w:val="00902EA9"/>
    <w:rsid w:val="00903263"/>
    <w:rsid w:val="0090427F"/>
    <w:rsid w:val="009149BB"/>
    <w:rsid w:val="009163AF"/>
    <w:rsid w:val="00920506"/>
    <w:rsid w:val="00921B59"/>
    <w:rsid w:val="00931DEB"/>
    <w:rsid w:val="00933957"/>
    <w:rsid w:val="009356FA"/>
    <w:rsid w:val="00936CD8"/>
    <w:rsid w:val="00942A77"/>
    <w:rsid w:val="00944FEB"/>
    <w:rsid w:val="0094603B"/>
    <w:rsid w:val="00950485"/>
    <w:rsid w:val="009504A1"/>
    <w:rsid w:val="00950605"/>
    <w:rsid w:val="00952233"/>
    <w:rsid w:val="00953EA7"/>
    <w:rsid w:val="00954D66"/>
    <w:rsid w:val="009569E3"/>
    <w:rsid w:val="00963F8F"/>
    <w:rsid w:val="0096537C"/>
    <w:rsid w:val="00973C62"/>
    <w:rsid w:val="00975D76"/>
    <w:rsid w:val="00982E51"/>
    <w:rsid w:val="009874B9"/>
    <w:rsid w:val="00993581"/>
    <w:rsid w:val="009A288C"/>
    <w:rsid w:val="009A56F5"/>
    <w:rsid w:val="009A64C1"/>
    <w:rsid w:val="009B0312"/>
    <w:rsid w:val="009B2AE9"/>
    <w:rsid w:val="009B6697"/>
    <w:rsid w:val="009B6A8A"/>
    <w:rsid w:val="009C2B43"/>
    <w:rsid w:val="009C2EA4"/>
    <w:rsid w:val="009C4C04"/>
    <w:rsid w:val="009D40D4"/>
    <w:rsid w:val="009D5213"/>
    <w:rsid w:val="009E1C95"/>
    <w:rsid w:val="009E552F"/>
    <w:rsid w:val="009F196A"/>
    <w:rsid w:val="009F669B"/>
    <w:rsid w:val="009F7566"/>
    <w:rsid w:val="009F7F18"/>
    <w:rsid w:val="00A02A72"/>
    <w:rsid w:val="00A06BFE"/>
    <w:rsid w:val="00A10F5D"/>
    <w:rsid w:val="00A1199A"/>
    <w:rsid w:val="00A1243C"/>
    <w:rsid w:val="00A135AE"/>
    <w:rsid w:val="00A14AF1"/>
    <w:rsid w:val="00A16302"/>
    <w:rsid w:val="00A16891"/>
    <w:rsid w:val="00A21871"/>
    <w:rsid w:val="00A268CE"/>
    <w:rsid w:val="00A332E8"/>
    <w:rsid w:val="00A35AF5"/>
    <w:rsid w:val="00A35DDF"/>
    <w:rsid w:val="00A36CBA"/>
    <w:rsid w:val="00A40CF0"/>
    <w:rsid w:val="00A432CD"/>
    <w:rsid w:val="00A45741"/>
    <w:rsid w:val="00A47EF6"/>
    <w:rsid w:val="00A50291"/>
    <w:rsid w:val="00A530E4"/>
    <w:rsid w:val="00A54F97"/>
    <w:rsid w:val="00A604CD"/>
    <w:rsid w:val="00A605B5"/>
    <w:rsid w:val="00A60FE6"/>
    <w:rsid w:val="00A622F5"/>
    <w:rsid w:val="00A654BE"/>
    <w:rsid w:val="00A66DD6"/>
    <w:rsid w:val="00A75018"/>
    <w:rsid w:val="00A75555"/>
    <w:rsid w:val="00A771FD"/>
    <w:rsid w:val="00A80767"/>
    <w:rsid w:val="00A81C90"/>
    <w:rsid w:val="00A83F46"/>
    <w:rsid w:val="00A84B75"/>
    <w:rsid w:val="00A850AB"/>
    <w:rsid w:val="00A855C7"/>
    <w:rsid w:val="00A874EF"/>
    <w:rsid w:val="00A91397"/>
    <w:rsid w:val="00A916D4"/>
    <w:rsid w:val="00A95415"/>
    <w:rsid w:val="00A96989"/>
    <w:rsid w:val="00A975AD"/>
    <w:rsid w:val="00AA3C89"/>
    <w:rsid w:val="00AA71EA"/>
    <w:rsid w:val="00AB32BD"/>
    <w:rsid w:val="00AB45A2"/>
    <w:rsid w:val="00AB4723"/>
    <w:rsid w:val="00AC4CDB"/>
    <w:rsid w:val="00AC4D0A"/>
    <w:rsid w:val="00AC70FE"/>
    <w:rsid w:val="00AD3AA3"/>
    <w:rsid w:val="00AD4358"/>
    <w:rsid w:val="00AE2AE5"/>
    <w:rsid w:val="00AF4881"/>
    <w:rsid w:val="00AF61E1"/>
    <w:rsid w:val="00AF638A"/>
    <w:rsid w:val="00B00141"/>
    <w:rsid w:val="00B009AA"/>
    <w:rsid w:val="00B009B7"/>
    <w:rsid w:val="00B00ECE"/>
    <w:rsid w:val="00B030C8"/>
    <w:rsid w:val="00B039C0"/>
    <w:rsid w:val="00B03A09"/>
    <w:rsid w:val="00B056E7"/>
    <w:rsid w:val="00B05B71"/>
    <w:rsid w:val="00B06C05"/>
    <w:rsid w:val="00B10035"/>
    <w:rsid w:val="00B121CB"/>
    <w:rsid w:val="00B15C76"/>
    <w:rsid w:val="00B15FBF"/>
    <w:rsid w:val="00B165E6"/>
    <w:rsid w:val="00B21B6C"/>
    <w:rsid w:val="00B235DB"/>
    <w:rsid w:val="00B30210"/>
    <w:rsid w:val="00B424D9"/>
    <w:rsid w:val="00B447C0"/>
    <w:rsid w:val="00B52510"/>
    <w:rsid w:val="00B53E53"/>
    <w:rsid w:val="00B548A2"/>
    <w:rsid w:val="00B56934"/>
    <w:rsid w:val="00B61E93"/>
    <w:rsid w:val="00B62F03"/>
    <w:rsid w:val="00B72444"/>
    <w:rsid w:val="00B878DF"/>
    <w:rsid w:val="00B87C0E"/>
    <w:rsid w:val="00B92E6E"/>
    <w:rsid w:val="00B93B62"/>
    <w:rsid w:val="00B953D1"/>
    <w:rsid w:val="00B96D93"/>
    <w:rsid w:val="00BA30D0"/>
    <w:rsid w:val="00BA4856"/>
    <w:rsid w:val="00BA5AB5"/>
    <w:rsid w:val="00BA5C46"/>
    <w:rsid w:val="00BA5F34"/>
    <w:rsid w:val="00BB0B64"/>
    <w:rsid w:val="00BB0D32"/>
    <w:rsid w:val="00BB32F3"/>
    <w:rsid w:val="00BC133C"/>
    <w:rsid w:val="00BC27DC"/>
    <w:rsid w:val="00BC76B5"/>
    <w:rsid w:val="00BD072A"/>
    <w:rsid w:val="00BD514E"/>
    <w:rsid w:val="00BD5420"/>
    <w:rsid w:val="00BF5191"/>
    <w:rsid w:val="00C02325"/>
    <w:rsid w:val="00C04813"/>
    <w:rsid w:val="00C04BD2"/>
    <w:rsid w:val="00C11596"/>
    <w:rsid w:val="00C13EEC"/>
    <w:rsid w:val="00C14689"/>
    <w:rsid w:val="00C156A4"/>
    <w:rsid w:val="00C20D3D"/>
    <w:rsid w:val="00C20FAA"/>
    <w:rsid w:val="00C23509"/>
    <w:rsid w:val="00C241D7"/>
    <w:rsid w:val="00C2459D"/>
    <w:rsid w:val="00C2755A"/>
    <w:rsid w:val="00C3001C"/>
    <w:rsid w:val="00C316F1"/>
    <w:rsid w:val="00C351A2"/>
    <w:rsid w:val="00C42C95"/>
    <w:rsid w:val="00C4470F"/>
    <w:rsid w:val="00C455B6"/>
    <w:rsid w:val="00C45A85"/>
    <w:rsid w:val="00C50727"/>
    <w:rsid w:val="00C55E5B"/>
    <w:rsid w:val="00C56639"/>
    <w:rsid w:val="00C62530"/>
    <w:rsid w:val="00C62739"/>
    <w:rsid w:val="00C66DEF"/>
    <w:rsid w:val="00C673F1"/>
    <w:rsid w:val="00C720A4"/>
    <w:rsid w:val="00C74F59"/>
    <w:rsid w:val="00C7611C"/>
    <w:rsid w:val="00C80F80"/>
    <w:rsid w:val="00C94097"/>
    <w:rsid w:val="00CA4269"/>
    <w:rsid w:val="00CA48CA"/>
    <w:rsid w:val="00CA7330"/>
    <w:rsid w:val="00CB1C84"/>
    <w:rsid w:val="00CB5363"/>
    <w:rsid w:val="00CB64F0"/>
    <w:rsid w:val="00CC2909"/>
    <w:rsid w:val="00CC558F"/>
    <w:rsid w:val="00CD0549"/>
    <w:rsid w:val="00CE6B3C"/>
    <w:rsid w:val="00CE6B78"/>
    <w:rsid w:val="00CF4AF4"/>
    <w:rsid w:val="00CF5648"/>
    <w:rsid w:val="00CF586E"/>
    <w:rsid w:val="00CF6552"/>
    <w:rsid w:val="00CF68C8"/>
    <w:rsid w:val="00D02B40"/>
    <w:rsid w:val="00D05E6F"/>
    <w:rsid w:val="00D10314"/>
    <w:rsid w:val="00D16766"/>
    <w:rsid w:val="00D20296"/>
    <w:rsid w:val="00D2231A"/>
    <w:rsid w:val="00D276BD"/>
    <w:rsid w:val="00D27929"/>
    <w:rsid w:val="00D33442"/>
    <w:rsid w:val="00D419C6"/>
    <w:rsid w:val="00D44BAD"/>
    <w:rsid w:val="00D45B55"/>
    <w:rsid w:val="00D4785A"/>
    <w:rsid w:val="00D52E43"/>
    <w:rsid w:val="00D65573"/>
    <w:rsid w:val="00D664D7"/>
    <w:rsid w:val="00D67E1E"/>
    <w:rsid w:val="00D7097B"/>
    <w:rsid w:val="00D7197D"/>
    <w:rsid w:val="00D72BC4"/>
    <w:rsid w:val="00D815FC"/>
    <w:rsid w:val="00D84885"/>
    <w:rsid w:val="00D8517B"/>
    <w:rsid w:val="00D91DFA"/>
    <w:rsid w:val="00DA0E5A"/>
    <w:rsid w:val="00DA0E82"/>
    <w:rsid w:val="00DA159A"/>
    <w:rsid w:val="00DB1AB2"/>
    <w:rsid w:val="00DC17C2"/>
    <w:rsid w:val="00DC4FDF"/>
    <w:rsid w:val="00DC66F0"/>
    <w:rsid w:val="00DD2B2F"/>
    <w:rsid w:val="00DD3105"/>
    <w:rsid w:val="00DD3A65"/>
    <w:rsid w:val="00DD56C8"/>
    <w:rsid w:val="00DD62C6"/>
    <w:rsid w:val="00DE3B92"/>
    <w:rsid w:val="00DE48B4"/>
    <w:rsid w:val="00DE5ACA"/>
    <w:rsid w:val="00DE7137"/>
    <w:rsid w:val="00DF0192"/>
    <w:rsid w:val="00DF18E4"/>
    <w:rsid w:val="00DF4B4E"/>
    <w:rsid w:val="00DF7AE4"/>
    <w:rsid w:val="00E00498"/>
    <w:rsid w:val="00E07997"/>
    <w:rsid w:val="00E12DB5"/>
    <w:rsid w:val="00E1464C"/>
    <w:rsid w:val="00E14ADB"/>
    <w:rsid w:val="00E15DCF"/>
    <w:rsid w:val="00E22F78"/>
    <w:rsid w:val="00E2425D"/>
    <w:rsid w:val="00E24F87"/>
    <w:rsid w:val="00E2617A"/>
    <w:rsid w:val="00E273FB"/>
    <w:rsid w:val="00E31CD4"/>
    <w:rsid w:val="00E538E6"/>
    <w:rsid w:val="00E56696"/>
    <w:rsid w:val="00E62C78"/>
    <w:rsid w:val="00E6318F"/>
    <w:rsid w:val="00E74332"/>
    <w:rsid w:val="00E768A9"/>
    <w:rsid w:val="00E77399"/>
    <w:rsid w:val="00E802A2"/>
    <w:rsid w:val="00E83525"/>
    <w:rsid w:val="00E8410F"/>
    <w:rsid w:val="00E85C0B"/>
    <w:rsid w:val="00E87F6F"/>
    <w:rsid w:val="00EA5045"/>
    <w:rsid w:val="00EA7089"/>
    <w:rsid w:val="00EB0ADE"/>
    <w:rsid w:val="00EB13D7"/>
    <w:rsid w:val="00EB1E83"/>
    <w:rsid w:val="00EB5038"/>
    <w:rsid w:val="00ED22CB"/>
    <w:rsid w:val="00ED4BB1"/>
    <w:rsid w:val="00ED67AF"/>
    <w:rsid w:val="00EE062E"/>
    <w:rsid w:val="00EE11F0"/>
    <w:rsid w:val="00EE128C"/>
    <w:rsid w:val="00EE3E9B"/>
    <w:rsid w:val="00EE3F67"/>
    <w:rsid w:val="00EE4C48"/>
    <w:rsid w:val="00EE5D2E"/>
    <w:rsid w:val="00EE7E6F"/>
    <w:rsid w:val="00EF032B"/>
    <w:rsid w:val="00EF4918"/>
    <w:rsid w:val="00EF66D9"/>
    <w:rsid w:val="00EF68E3"/>
    <w:rsid w:val="00EF6BA5"/>
    <w:rsid w:val="00EF780D"/>
    <w:rsid w:val="00EF7A98"/>
    <w:rsid w:val="00F0267E"/>
    <w:rsid w:val="00F071B2"/>
    <w:rsid w:val="00F11B47"/>
    <w:rsid w:val="00F2412D"/>
    <w:rsid w:val="00F25D8D"/>
    <w:rsid w:val="00F3069C"/>
    <w:rsid w:val="00F3603E"/>
    <w:rsid w:val="00F40EBA"/>
    <w:rsid w:val="00F43B60"/>
    <w:rsid w:val="00F44CCB"/>
    <w:rsid w:val="00F45B4A"/>
    <w:rsid w:val="00F474C9"/>
    <w:rsid w:val="00F5126B"/>
    <w:rsid w:val="00F54EA3"/>
    <w:rsid w:val="00F60102"/>
    <w:rsid w:val="00F61675"/>
    <w:rsid w:val="00F65363"/>
    <w:rsid w:val="00F6686B"/>
    <w:rsid w:val="00F67F74"/>
    <w:rsid w:val="00F7021F"/>
    <w:rsid w:val="00F712B3"/>
    <w:rsid w:val="00F71E9F"/>
    <w:rsid w:val="00F73DE3"/>
    <w:rsid w:val="00F744BF"/>
    <w:rsid w:val="00F7632C"/>
    <w:rsid w:val="00F77219"/>
    <w:rsid w:val="00F81184"/>
    <w:rsid w:val="00F84DD2"/>
    <w:rsid w:val="00F938AD"/>
    <w:rsid w:val="00F95439"/>
    <w:rsid w:val="00F95D53"/>
    <w:rsid w:val="00FA7416"/>
    <w:rsid w:val="00FB0872"/>
    <w:rsid w:val="00FB2CD4"/>
    <w:rsid w:val="00FB4224"/>
    <w:rsid w:val="00FB54CC"/>
    <w:rsid w:val="00FB5E34"/>
    <w:rsid w:val="00FB6375"/>
    <w:rsid w:val="00FD1A37"/>
    <w:rsid w:val="00FD4E5B"/>
    <w:rsid w:val="00FE4EE0"/>
    <w:rsid w:val="00FE7047"/>
    <w:rsid w:val="00FF0F9A"/>
    <w:rsid w:val="00FF582E"/>
    <w:rsid w:val="017291FA"/>
    <w:rsid w:val="017AD3E3"/>
    <w:rsid w:val="017E6F31"/>
    <w:rsid w:val="0192AEC6"/>
    <w:rsid w:val="01D373C3"/>
    <w:rsid w:val="022387F2"/>
    <w:rsid w:val="023F2C01"/>
    <w:rsid w:val="02401B9A"/>
    <w:rsid w:val="027C64BD"/>
    <w:rsid w:val="029E428A"/>
    <w:rsid w:val="02A2BADC"/>
    <w:rsid w:val="02A9DD6C"/>
    <w:rsid w:val="02C5C84F"/>
    <w:rsid w:val="0319B401"/>
    <w:rsid w:val="034398C4"/>
    <w:rsid w:val="0377685A"/>
    <w:rsid w:val="038A7A80"/>
    <w:rsid w:val="03ACE25F"/>
    <w:rsid w:val="03B0DFA4"/>
    <w:rsid w:val="03BFB5A8"/>
    <w:rsid w:val="03FB674A"/>
    <w:rsid w:val="0405B20C"/>
    <w:rsid w:val="042A7602"/>
    <w:rsid w:val="04407BA9"/>
    <w:rsid w:val="04664626"/>
    <w:rsid w:val="04719BFD"/>
    <w:rsid w:val="047A5CF4"/>
    <w:rsid w:val="049FE8F5"/>
    <w:rsid w:val="04BAB22F"/>
    <w:rsid w:val="04C9DEA1"/>
    <w:rsid w:val="04D1553D"/>
    <w:rsid w:val="04D34ED3"/>
    <w:rsid w:val="04DECD14"/>
    <w:rsid w:val="04E6732D"/>
    <w:rsid w:val="04EABB76"/>
    <w:rsid w:val="05018089"/>
    <w:rsid w:val="05067348"/>
    <w:rsid w:val="0515AFAD"/>
    <w:rsid w:val="052A7329"/>
    <w:rsid w:val="05637DAA"/>
    <w:rsid w:val="056432F9"/>
    <w:rsid w:val="0579A41F"/>
    <w:rsid w:val="057EFA63"/>
    <w:rsid w:val="059CE8C3"/>
    <w:rsid w:val="05C8447E"/>
    <w:rsid w:val="05D9583E"/>
    <w:rsid w:val="069A16AD"/>
    <w:rsid w:val="06C35275"/>
    <w:rsid w:val="06C9BF91"/>
    <w:rsid w:val="06C9C7D9"/>
    <w:rsid w:val="06FFE679"/>
    <w:rsid w:val="0713422D"/>
    <w:rsid w:val="07547860"/>
    <w:rsid w:val="07582BF2"/>
    <w:rsid w:val="07849723"/>
    <w:rsid w:val="0790ADCE"/>
    <w:rsid w:val="07D7058D"/>
    <w:rsid w:val="07E0AE97"/>
    <w:rsid w:val="07E7368D"/>
    <w:rsid w:val="0800D190"/>
    <w:rsid w:val="081A8C52"/>
    <w:rsid w:val="083F75E4"/>
    <w:rsid w:val="08690B5D"/>
    <w:rsid w:val="088F0ACB"/>
    <w:rsid w:val="08AC3910"/>
    <w:rsid w:val="08CFA399"/>
    <w:rsid w:val="08D54768"/>
    <w:rsid w:val="08EEA2AB"/>
    <w:rsid w:val="08F4619D"/>
    <w:rsid w:val="092283FD"/>
    <w:rsid w:val="092CAC43"/>
    <w:rsid w:val="0940CFEC"/>
    <w:rsid w:val="09459633"/>
    <w:rsid w:val="094FF841"/>
    <w:rsid w:val="09532C69"/>
    <w:rsid w:val="0980C5D9"/>
    <w:rsid w:val="099D7986"/>
    <w:rsid w:val="09A558A5"/>
    <w:rsid w:val="09B0FA6C"/>
    <w:rsid w:val="09C72EF0"/>
    <w:rsid w:val="09CBE550"/>
    <w:rsid w:val="09F36339"/>
    <w:rsid w:val="09FE270F"/>
    <w:rsid w:val="09FF5F62"/>
    <w:rsid w:val="0A10498C"/>
    <w:rsid w:val="0A5AEC58"/>
    <w:rsid w:val="0A5F5F9C"/>
    <w:rsid w:val="0AB998AA"/>
    <w:rsid w:val="0ABA4E6B"/>
    <w:rsid w:val="0AF2CB7D"/>
    <w:rsid w:val="0B1F067F"/>
    <w:rsid w:val="0B24A7BD"/>
    <w:rsid w:val="0B38B92F"/>
    <w:rsid w:val="0B8999F9"/>
    <w:rsid w:val="0B93B450"/>
    <w:rsid w:val="0BB6D608"/>
    <w:rsid w:val="0BEC3165"/>
    <w:rsid w:val="0C077AA8"/>
    <w:rsid w:val="0C193E69"/>
    <w:rsid w:val="0C356F63"/>
    <w:rsid w:val="0C3629EC"/>
    <w:rsid w:val="0C6CC591"/>
    <w:rsid w:val="0C7674A4"/>
    <w:rsid w:val="0CACD8E9"/>
    <w:rsid w:val="0CDB43FE"/>
    <w:rsid w:val="0CF5E567"/>
    <w:rsid w:val="0CFD7789"/>
    <w:rsid w:val="0D0176EF"/>
    <w:rsid w:val="0D241A41"/>
    <w:rsid w:val="0D726D34"/>
    <w:rsid w:val="0D72A2B8"/>
    <w:rsid w:val="0D8DC034"/>
    <w:rsid w:val="0DA9515D"/>
    <w:rsid w:val="0DE35292"/>
    <w:rsid w:val="0DE8CFB7"/>
    <w:rsid w:val="0DEE2F16"/>
    <w:rsid w:val="0E05FE33"/>
    <w:rsid w:val="0E0E4ADD"/>
    <w:rsid w:val="0E1932E6"/>
    <w:rsid w:val="0E3B95E4"/>
    <w:rsid w:val="0E4216ED"/>
    <w:rsid w:val="0E43E7A6"/>
    <w:rsid w:val="0E4436B9"/>
    <w:rsid w:val="0E55A895"/>
    <w:rsid w:val="0E6D8FDE"/>
    <w:rsid w:val="0E6F89A8"/>
    <w:rsid w:val="0EAF39F0"/>
    <w:rsid w:val="0F2540CF"/>
    <w:rsid w:val="0F30D785"/>
    <w:rsid w:val="0F343CAA"/>
    <w:rsid w:val="0F55BCE3"/>
    <w:rsid w:val="0F94C012"/>
    <w:rsid w:val="0FB421FA"/>
    <w:rsid w:val="0FD3AADF"/>
    <w:rsid w:val="0FE15A51"/>
    <w:rsid w:val="0FFB7E7F"/>
    <w:rsid w:val="10059FE0"/>
    <w:rsid w:val="1048E32F"/>
    <w:rsid w:val="10939711"/>
    <w:rsid w:val="10BB0802"/>
    <w:rsid w:val="10C79645"/>
    <w:rsid w:val="10D19A56"/>
    <w:rsid w:val="10D3957A"/>
    <w:rsid w:val="10FA5F7B"/>
    <w:rsid w:val="10FF2010"/>
    <w:rsid w:val="118C3CEE"/>
    <w:rsid w:val="11977AAB"/>
    <w:rsid w:val="11AF18E7"/>
    <w:rsid w:val="11BB1D58"/>
    <w:rsid w:val="12092CB6"/>
    <w:rsid w:val="1260E86E"/>
    <w:rsid w:val="12930AFF"/>
    <w:rsid w:val="12EC008E"/>
    <w:rsid w:val="13008DA5"/>
    <w:rsid w:val="13020630"/>
    <w:rsid w:val="131C9CE8"/>
    <w:rsid w:val="13213185"/>
    <w:rsid w:val="13542C60"/>
    <w:rsid w:val="1359F315"/>
    <w:rsid w:val="1361039D"/>
    <w:rsid w:val="1385E191"/>
    <w:rsid w:val="13CED475"/>
    <w:rsid w:val="13E5F089"/>
    <w:rsid w:val="13F12E70"/>
    <w:rsid w:val="1425B98A"/>
    <w:rsid w:val="1434CF8F"/>
    <w:rsid w:val="145C94AD"/>
    <w:rsid w:val="146A652A"/>
    <w:rsid w:val="146A7738"/>
    <w:rsid w:val="147FF561"/>
    <w:rsid w:val="14830248"/>
    <w:rsid w:val="148A3861"/>
    <w:rsid w:val="14B906FE"/>
    <w:rsid w:val="14C0A4EF"/>
    <w:rsid w:val="14CCEB82"/>
    <w:rsid w:val="15131BDC"/>
    <w:rsid w:val="15218D61"/>
    <w:rsid w:val="153A1FAE"/>
    <w:rsid w:val="154B0757"/>
    <w:rsid w:val="1554605A"/>
    <w:rsid w:val="15A8FB5A"/>
    <w:rsid w:val="15AEE50C"/>
    <w:rsid w:val="15FAED75"/>
    <w:rsid w:val="1600A959"/>
    <w:rsid w:val="1653274B"/>
    <w:rsid w:val="16B0035E"/>
    <w:rsid w:val="16B2F528"/>
    <w:rsid w:val="16B97894"/>
    <w:rsid w:val="174393D0"/>
    <w:rsid w:val="177A2683"/>
    <w:rsid w:val="17BBD6CF"/>
    <w:rsid w:val="17D8CFCC"/>
    <w:rsid w:val="17E9DBCF"/>
    <w:rsid w:val="1813664F"/>
    <w:rsid w:val="182333DC"/>
    <w:rsid w:val="182D1E4E"/>
    <w:rsid w:val="18773075"/>
    <w:rsid w:val="1879870B"/>
    <w:rsid w:val="18A03AD6"/>
    <w:rsid w:val="18A406E9"/>
    <w:rsid w:val="18EB7832"/>
    <w:rsid w:val="18ED81B1"/>
    <w:rsid w:val="191261AE"/>
    <w:rsid w:val="1918A51A"/>
    <w:rsid w:val="191A6919"/>
    <w:rsid w:val="194A6E99"/>
    <w:rsid w:val="194D7FB8"/>
    <w:rsid w:val="194FED72"/>
    <w:rsid w:val="1969A3CD"/>
    <w:rsid w:val="196DE7E6"/>
    <w:rsid w:val="1977638B"/>
    <w:rsid w:val="19A38ABE"/>
    <w:rsid w:val="19BC05B9"/>
    <w:rsid w:val="19CFE351"/>
    <w:rsid w:val="19D7A6B7"/>
    <w:rsid w:val="19EA2521"/>
    <w:rsid w:val="1A1A88F3"/>
    <w:rsid w:val="1A4B6A91"/>
    <w:rsid w:val="1A6FDC82"/>
    <w:rsid w:val="1AB5A829"/>
    <w:rsid w:val="1ADEF6E9"/>
    <w:rsid w:val="1AFFFABA"/>
    <w:rsid w:val="1B039812"/>
    <w:rsid w:val="1B0762E7"/>
    <w:rsid w:val="1B0C6618"/>
    <w:rsid w:val="1B6C5D3A"/>
    <w:rsid w:val="1B7D16EA"/>
    <w:rsid w:val="1B7E56FB"/>
    <w:rsid w:val="1BB05487"/>
    <w:rsid w:val="1BB7A505"/>
    <w:rsid w:val="1BD8F566"/>
    <w:rsid w:val="1C016A41"/>
    <w:rsid w:val="1C1B8B3F"/>
    <w:rsid w:val="1C2FA4DA"/>
    <w:rsid w:val="1C30C94F"/>
    <w:rsid w:val="1C319415"/>
    <w:rsid w:val="1C821D89"/>
    <w:rsid w:val="1C894153"/>
    <w:rsid w:val="1CAB3B95"/>
    <w:rsid w:val="1CB0ACE2"/>
    <w:rsid w:val="1CC98438"/>
    <w:rsid w:val="1CD89601"/>
    <w:rsid w:val="1CEBEA21"/>
    <w:rsid w:val="1CF0FBBD"/>
    <w:rsid w:val="1CF34E22"/>
    <w:rsid w:val="1D1C440B"/>
    <w:rsid w:val="1D270BB0"/>
    <w:rsid w:val="1D477987"/>
    <w:rsid w:val="1D67EC52"/>
    <w:rsid w:val="1D689DD0"/>
    <w:rsid w:val="1D69B789"/>
    <w:rsid w:val="1D7F6278"/>
    <w:rsid w:val="1DA8BA81"/>
    <w:rsid w:val="1DD7837E"/>
    <w:rsid w:val="1DF6D22B"/>
    <w:rsid w:val="1E0370C0"/>
    <w:rsid w:val="1E0B3C82"/>
    <w:rsid w:val="1E66633C"/>
    <w:rsid w:val="1E856440"/>
    <w:rsid w:val="1E8BCD4C"/>
    <w:rsid w:val="1E9C951A"/>
    <w:rsid w:val="1EA3642A"/>
    <w:rsid w:val="1EA7DD58"/>
    <w:rsid w:val="1ECB8583"/>
    <w:rsid w:val="1EDC0585"/>
    <w:rsid w:val="1F2583D5"/>
    <w:rsid w:val="1F28ACEF"/>
    <w:rsid w:val="1F299965"/>
    <w:rsid w:val="1F2A4B3F"/>
    <w:rsid w:val="1F3647F9"/>
    <w:rsid w:val="1F8943F7"/>
    <w:rsid w:val="1F8A3703"/>
    <w:rsid w:val="1F8F2324"/>
    <w:rsid w:val="1F902E7A"/>
    <w:rsid w:val="1F94B5DE"/>
    <w:rsid w:val="1FCC4FE5"/>
    <w:rsid w:val="1FF866BB"/>
    <w:rsid w:val="20019A99"/>
    <w:rsid w:val="2002AB2F"/>
    <w:rsid w:val="201847FE"/>
    <w:rsid w:val="2025B286"/>
    <w:rsid w:val="20809C62"/>
    <w:rsid w:val="20BCD9EF"/>
    <w:rsid w:val="20BDB125"/>
    <w:rsid w:val="20DCEC1C"/>
    <w:rsid w:val="20FE2D99"/>
    <w:rsid w:val="210F7AF5"/>
    <w:rsid w:val="2111C104"/>
    <w:rsid w:val="215938A5"/>
    <w:rsid w:val="2166EB48"/>
    <w:rsid w:val="21848D69"/>
    <w:rsid w:val="21A89951"/>
    <w:rsid w:val="21FDD8F8"/>
    <w:rsid w:val="2221251F"/>
    <w:rsid w:val="2225A765"/>
    <w:rsid w:val="224ECE06"/>
    <w:rsid w:val="228B5AAC"/>
    <w:rsid w:val="229A5B07"/>
    <w:rsid w:val="22A9ADD7"/>
    <w:rsid w:val="22DCEEFB"/>
    <w:rsid w:val="2340A711"/>
    <w:rsid w:val="23420873"/>
    <w:rsid w:val="23672259"/>
    <w:rsid w:val="2369A0D7"/>
    <w:rsid w:val="238DB68E"/>
    <w:rsid w:val="2391DD8D"/>
    <w:rsid w:val="23B8F6AD"/>
    <w:rsid w:val="23BCB4F0"/>
    <w:rsid w:val="23CB33AF"/>
    <w:rsid w:val="23EDB62F"/>
    <w:rsid w:val="23F19101"/>
    <w:rsid w:val="2430335B"/>
    <w:rsid w:val="2466DD02"/>
    <w:rsid w:val="249EF44F"/>
    <w:rsid w:val="24A8551C"/>
    <w:rsid w:val="24B0E106"/>
    <w:rsid w:val="24C868DB"/>
    <w:rsid w:val="24CF446A"/>
    <w:rsid w:val="24E1ECC4"/>
    <w:rsid w:val="24F3BCED"/>
    <w:rsid w:val="25979AD8"/>
    <w:rsid w:val="25C29082"/>
    <w:rsid w:val="261878EA"/>
    <w:rsid w:val="262BC925"/>
    <w:rsid w:val="2653DC77"/>
    <w:rsid w:val="266BEF2C"/>
    <w:rsid w:val="2674D507"/>
    <w:rsid w:val="267C273B"/>
    <w:rsid w:val="2692893B"/>
    <w:rsid w:val="26B746D6"/>
    <w:rsid w:val="26DC6256"/>
    <w:rsid w:val="26DF0DEE"/>
    <w:rsid w:val="26E6A69D"/>
    <w:rsid w:val="26EFF4FC"/>
    <w:rsid w:val="27157731"/>
    <w:rsid w:val="271C97DC"/>
    <w:rsid w:val="2753C59F"/>
    <w:rsid w:val="276622AD"/>
    <w:rsid w:val="2778742B"/>
    <w:rsid w:val="277D6A88"/>
    <w:rsid w:val="27A19047"/>
    <w:rsid w:val="27A444E7"/>
    <w:rsid w:val="27C17B1D"/>
    <w:rsid w:val="281D5FB7"/>
    <w:rsid w:val="2850F5D7"/>
    <w:rsid w:val="285561A8"/>
    <w:rsid w:val="2857A0F7"/>
    <w:rsid w:val="28615458"/>
    <w:rsid w:val="2867FFC2"/>
    <w:rsid w:val="2875AF5A"/>
    <w:rsid w:val="287B93E2"/>
    <w:rsid w:val="288A4042"/>
    <w:rsid w:val="28953953"/>
    <w:rsid w:val="28A54E0A"/>
    <w:rsid w:val="28A729F3"/>
    <w:rsid w:val="28D8AE39"/>
    <w:rsid w:val="28E3B9FA"/>
    <w:rsid w:val="28F69398"/>
    <w:rsid w:val="2902651D"/>
    <w:rsid w:val="2923CB27"/>
    <w:rsid w:val="2927D66C"/>
    <w:rsid w:val="2931CE8E"/>
    <w:rsid w:val="29F5F2A8"/>
    <w:rsid w:val="2A0B52B3"/>
    <w:rsid w:val="2A3FD142"/>
    <w:rsid w:val="2A7097E2"/>
    <w:rsid w:val="2A718CCB"/>
    <w:rsid w:val="2A73AFC8"/>
    <w:rsid w:val="2A79FC7A"/>
    <w:rsid w:val="2B090946"/>
    <w:rsid w:val="2B90BE50"/>
    <w:rsid w:val="2BAB8237"/>
    <w:rsid w:val="2BBC0AC6"/>
    <w:rsid w:val="2BBD1012"/>
    <w:rsid w:val="2BCF2A2B"/>
    <w:rsid w:val="2C177C26"/>
    <w:rsid w:val="2C2A925D"/>
    <w:rsid w:val="2C48C17B"/>
    <w:rsid w:val="2C94FDBC"/>
    <w:rsid w:val="2CB8A017"/>
    <w:rsid w:val="2CBA6273"/>
    <w:rsid w:val="2CCEC995"/>
    <w:rsid w:val="2CE33946"/>
    <w:rsid w:val="2CE8DC32"/>
    <w:rsid w:val="2CFE6F3F"/>
    <w:rsid w:val="2D036F37"/>
    <w:rsid w:val="2D04B861"/>
    <w:rsid w:val="2D237D6D"/>
    <w:rsid w:val="2D2E87DE"/>
    <w:rsid w:val="2D2F89AB"/>
    <w:rsid w:val="2D37163A"/>
    <w:rsid w:val="2D785C08"/>
    <w:rsid w:val="2D7CC049"/>
    <w:rsid w:val="2DA970E8"/>
    <w:rsid w:val="2DE7DBA2"/>
    <w:rsid w:val="2DE84C85"/>
    <w:rsid w:val="2DEDC064"/>
    <w:rsid w:val="2DEDDEE4"/>
    <w:rsid w:val="2E586FC6"/>
    <w:rsid w:val="2E8C1197"/>
    <w:rsid w:val="2EC37FF2"/>
    <w:rsid w:val="2ED5439B"/>
    <w:rsid w:val="2EEA2A55"/>
    <w:rsid w:val="2F0B576B"/>
    <w:rsid w:val="2F49470E"/>
    <w:rsid w:val="2F6B3699"/>
    <w:rsid w:val="2F6E6C36"/>
    <w:rsid w:val="2F916F56"/>
    <w:rsid w:val="2F92AA33"/>
    <w:rsid w:val="2FA6BBAA"/>
    <w:rsid w:val="2FBAB6BA"/>
    <w:rsid w:val="2FBFA750"/>
    <w:rsid w:val="2FFA8418"/>
    <w:rsid w:val="3003C532"/>
    <w:rsid w:val="301B9840"/>
    <w:rsid w:val="303E2F09"/>
    <w:rsid w:val="3041742F"/>
    <w:rsid w:val="30444340"/>
    <w:rsid w:val="3044A4E3"/>
    <w:rsid w:val="308714D8"/>
    <w:rsid w:val="3088F824"/>
    <w:rsid w:val="30C5822E"/>
    <w:rsid w:val="30CF65C0"/>
    <w:rsid w:val="3146BB76"/>
    <w:rsid w:val="31492F5A"/>
    <w:rsid w:val="317941BE"/>
    <w:rsid w:val="318ED2C7"/>
    <w:rsid w:val="31B04150"/>
    <w:rsid w:val="31BE8EDE"/>
    <w:rsid w:val="31C1DA3E"/>
    <w:rsid w:val="31E286D9"/>
    <w:rsid w:val="321C9602"/>
    <w:rsid w:val="32502D95"/>
    <w:rsid w:val="325D2CCC"/>
    <w:rsid w:val="326C201B"/>
    <w:rsid w:val="3285982E"/>
    <w:rsid w:val="328888B7"/>
    <w:rsid w:val="32AAFFEF"/>
    <w:rsid w:val="32B78337"/>
    <w:rsid w:val="32BDA2A1"/>
    <w:rsid w:val="32C817B2"/>
    <w:rsid w:val="32E8F912"/>
    <w:rsid w:val="32FC0FC6"/>
    <w:rsid w:val="32FD69DF"/>
    <w:rsid w:val="33111DD9"/>
    <w:rsid w:val="331F2CAF"/>
    <w:rsid w:val="3324EB02"/>
    <w:rsid w:val="33323D9B"/>
    <w:rsid w:val="33391381"/>
    <w:rsid w:val="33426772"/>
    <w:rsid w:val="3353B491"/>
    <w:rsid w:val="3376FEEB"/>
    <w:rsid w:val="338FAED5"/>
    <w:rsid w:val="33BC0BD3"/>
    <w:rsid w:val="33DB654A"/>
    <w:rsid w:val="33F815D8"/>
    <w:rsid w:val="341F39B7"/>
    <w:rsid w:val="342BD655"/>
    <w:rsid w:val="342BEB43"/>
    <w:rsid w:val="342C0CBA"/>
    <w:rsid w:val="342CE25B"/>
    <w:rsid w:val="34573EE7"/>
    <w:rsid w:val="34814EFB"/>
    <w:rsid w:val="34A790F6"/>
    <w:rsid w:val="34CA5575"/>
    <w:rsid w:val="34E7F9AF"/>
    <w:rsid w:val="3505FB03"/>
    <w:rsid w:val="3589AEDB"/>
    <w:rsid w:val="359B6DD0"/>
    <w:rsid w:val="35A29861"/>
    <w:rsid w:val="35C3DA54"/>
    <w:rsid w:val="35C5842E"/>
    <w:rsid w:val="35D4AAEE"/>
    <w:rsid w:val="35E446C4"/>
    <w:rsid w:val="36203428"/>
    <w:rsid w:val="36226C1D"/>
    <w:rsid w:val="362CF833"/>
    <w:rsid w:val="368314F2"/>
    <w:rsid w:val="36B4DA2E"/>
    <w:rsid w:val="36D52070"/>
    <w:rsid w:val="36D68CED"/>
    <w:rsid w:val="36DADA51"/>
    <w:rsid w:val="36E428A5"/>
    <w:rsid w:val="36ED9A07"/>
    <w:rsid w:val="36F9D7C0"/>
    <w:rsid w:val="373C2012"/>
    <w:rsid w:val="373F0D8E"/>
    <w:rsid w:val="37A6F540"/>
    <w:rsid w:val="37A76A40"/>
    <w:rsid w:val="3830210C"/>
    <w:rsid w:val="3868F677"/>
    <w:rsid w:val="3872C711"/>
    <w:rsid w:val="38D26A1F"/>
    <w:rsid w:val="38D4D459"/>
    <w:rsid w:val="38E58465"/>
    <w:rsid w:val="38F2B044"/>
    <w:rsid w:val="39130E46"/>
    <w:rsid w:val="395B3E57"/>
    <w:rsid w:val="399E184B"/>
    <w:rsid w:val="39A39BBF"/>
    <w:rsid w:val="39CF572B"/>
    <w:rsid w:val="39D51132"/>
    <w:rsid w:val="39DBC30A"/>
    <w:rsid w:val="39DD4CDA"/>
    <w:rsid w:val="39E08B17"/>
    <w:rsid w:val="3A110120"/>
    <w:rsid w:val="3A22AB14"/>
    <w:rsid w:val="3A2A0827"/>
    <w:rsid w:val="3A508C83"/>
    <w:rsid w:val="3A681265"/>
    <w:rsid w:val="3A8BE059"/>
    <w:rsid w:val="3A8FDE0B"/>
    <w:rsid w:val="3AB472E5"/>
    <w:rsid w:val="3AF42271"/>
    <w:rsid w:val="3AFC9EC6"/>
    <w:rsid w:val="3B5348A9"/>
    <w:rsid w:val="3B8993E6"/>
    <w:rsid w:val="3B9C5C07"/>
    <w:rsid w:val="3BD37A98"/>
    <w:rsid w:val="3BFE7A03"/>
    <w:rsid w:val="3C00C15C"/>
    <w:rsid w:val="3C168C01"/>
    <w:rsid w:val="3C31FE84"/>
    <w:rsid w:val="3C393566"/>
    <w:rsid w:val="3C406A57"/>
    <w:rsid w:val="3C495DA7"/>
    <w:rsid w:val="3C67C5CA"/>
    <w:rsid w:val="3C7C3584"/>
    <w:rsid w:val="3C81F1EB"/>
    <w:rsid w:val="3C829A66"/>
    <w:rsid w:val="3C8CAE65"/>
    <w:rsid w:val="3C9774EE"/>
    <w:rsid w:val="3C994D90"/>
    <w:rsid w:val="3C99611F"/>
    <w:rsid w:val="3CC8EE1F"/>
    <w:rsid w:val="3CD598DA"/>
    <w:rsid w:val="3CDAE8E5"/>
    <w:rsid w:val="3D4F940F"/>
    <w:rsid w:val="3D6CB59F"/>
    <w:rsid w:val="3D794F40"/>
    <w:rsid w:val="3D9207EA"/>
    <w:rsid w:val="3DA030A4"/>
    <w:rsid w:val="3DC45D38"/>
    <w:rsid w:val="3DD889C6"/>
    <w:rsid w:val="3DEEC666"/>
    <w:rsid w:val="3DF06C10"/>
    <w:rsid w:val="3DF9216B"/>
    <w:rsid w:val="3DFDE2C6"/>
    <w:rsid w:val="3E217A68"/>
    <w:rsid w:val="3E31AFDB"/>
    <w:rsid w:val="3E4D50FA"/>
    <w:rsid w:val="3E50165A"/>
    <w:rsid w:val="3E675054"/>
    <w:rsid w:val="3E9D44BB"/>
    <w:rsid w:val="3EA07427"/>
    <w:rsid w:val="3EA4A0C2"/>
    <w:rsid w:val="3EA683A1"/>
    <w:rsid w:val="3EBB35B9"/>
    <w:rsid w:val="3ED3CAAC"/>
    <w:rsid w:val="3EF05810"/>
    <w:rsid w:val="3F2A1EFB"/>
    <w:rsid w:val="3F73CAB4"/>
    <w:rsid w:val="3FB28867"/>
    <w:rsid w:val="3FC1550B"/>
    <w:rsid w:val="3FF30876"/>
    <w:rsid w:val="401285FD"/>
    <w:rsid w:val="4016F77D"/>
    <w:rsid w:val="402CF2DE"/>
    <w:rsid w:val="402E1FA6"/>
    <w:rsid w:val="40690157"/>
    <w:rsid w:val="407C06E1"/>
    <w:rsid w:val="408CBBC8"/>
    <w:rsid w:val="40946E4A"/>
    <w:rsid w:val="40A9C0B3"/>
    <w:rsid w:val="40AA72E7"/>
    <w:rsid w:val="40AE24FB"/>
    <w:rsid w:val="40F7BECD"/>
    <w:rsid w:val="412A3A03"/>
    <w:rsid w:val="41325991"/>
    <w:rsid w:val="413AA39B"/>
    <w:rsid w:val="415479DE"/>
    <w:rsid w:val="41643C42"/>
    <w:rsid w:val="419EFC6D"/>
    <w:rsid w:val="41B01844"/>
    <w:rsid w:val="41D713B5"/>
    <w:rsid w:val="41D7C91D"/>
    <w:rsid w:val="41DECE4B"/>
    <w:rsid w:val="41EC3168"/>
    <w:rsid w:val="42114C73"/>
    <w:rsid w:val="422A5E10"/>
    <w:rsid w:val="427A2979"/>
    <w:rsid w:val="429BD77F"/>
    <w:rsid w:val="42F7B95B"/>
    <w:rsid w:val="431C7C05"/>
    <w:rsid w:val="433C65AB"/>
    <w:rsid w:val="4359F9E4"/>
    <w:rsid w:val="435A51CC"/>
    <w:rsid w:val="436B8E1B"/>
    <w:rsid w:val="439FCD0A"/>
    <w:rsid w:val="43AA3CBF"/>
    <w:rsid w:val="43F45C7B"/>
    <w:rsid w:val="441E93AE"/>
    <w:rsid w:val="4422F67D"/>
    <w:rsid w:val="443DD829"/>
    <w:rsid w:val="4445048F"/>
    <w:rsid w:val="444A6AD0"/>
    <w:rsid w:val="4453C650"/>
    <w:rsid w:val="44616CE6"/>
    <w:rsid w:val="446E2ED8"/>
    <w:rsid w:val="447BC085"/>
    <w:rsid w:val="44B9DF90"/>
    <w:rsid w:val="44D2F30C"/>
    <w:rsid w:val="451D8871"/>
    <w:rsid w:val="453118DD"/>
    <w:rsid w:val="453852D4"/>
    <w:rsid w:val="456BE16A"/>
    <w:rsid w:val="4578F90F"/>
    <w:rsid w:val="458B7F02"/>
    <w:rsid w:val="45B752AB"/>
    <w:rsid w:val="45D0B659"/>
    <w:rsid w:val="45ECE2B6"/>
    <w:rsid w:val="45FEE243"/>
    <w:rsid w:val="461927EB"/>
    <w:rsid w:val="461A46A5"/>
    <w:rsid w:val="46413CB2"/>
    <w:rsid w:val="465084E9"/>
    <w:rsid w:val="465396E0"/>
    <w:rsid w:val="46932CDD"/>
    <w:rsid w:val="46A42C93"/>
    <w:rsid w:val="46BF94A3"/>
    <w:rsid w:val="46CBD71C"/>
    <w:rsid w:val="46CDB7F6"/>
    <w:rsid w:val="46CF1C2E"/>
    <w:rsid w:val="46F31DAC"/>
    <w:rsid w:val="47067018"/>
    <w:rsid w:val="474981F5"/>
    <w:rsid w:val="475E05F8"/>
    <w:rsid w:val="47D03194"/>
    <w:rsid w:val="480FBCF9"/>
    <w:rsid w:val="4823B5B8"/>
    <w:rsid w:val="4858DB9A"/>
    <w:rsid w:val="485B75F0"/>
    <w:rsid w:val="4861F9C1"/>
    <w:rsid w:val="48681799"/>
    <w:rsid w:val="48700A89"/>
    <w:rsid w:val="48922EA7"/>
    <w:rsid w:val="48996EDD"/>
    <w:rsid w:val="48D359F9"/>
    <w:rsid w:val="48F3DB0B"/>
    <w:rsid w:val="490F9153"/>
    <w:rsid w:val="49168D69"/>
    <w:rsid w:val="49AF1F0F"/>
    <w:rsid w:val="49CE1C7A"/>
    <w:rsid w:val="49F5638F"/>
    <w:rsid w:val="4A11DD7D"/>
    <w:rsid w:val="4A1460E3"/>
    <w:rsid w:val="4A16D6D6"/>
    <w:rsid w:val="4A43F173"/>
    <w:rsid w:val="4A4F8FC2"/>
    <w:rsid w:val="4A5EAAB3"/>
    <w:rsid w:val="4A6CD9FF"/>
    <w:rsid w:val="4A96093A"/>
    <w:rsid w:val="4AAE42C9"/>
    <w:rsid w:val="4AB27EC2"/>
    <w:rsid w:val="4AD7461A"/>
    <w:rsid w:val="4AE8C78C"/>
    <w:rsid w:val="4AF13CC4"/>
    <w:rsid w:val="4B00BDD4"/>
    <w:rsid w:val="4B1A3304"/>
    <w:rsid w:val="4B210C42"/>
    <w:rsid w:val="4B7D988C"/>
    <w:rsid w:val="4B888EB2"/>
    <w:rsid w:val="4BA6E179"/>
    <w:rsid w:val="4BB1396F"/>
    <w:rsid w:val="4BCE1F53"/>
    <w:rsid w:val="4BF76D25"/>
    <w:rsid w:val="4C0F01CF"/>
    <w:rsid w:val="4C167827"/>
    <w:rsid w:val="4C2D2754"/>
    <w:rsid w:val="4C461F79"/>
    <w:rsid w:val="4C4D8EA9"/>
    <w:rsid w:val="4C6C61AD"/>
    <w:rsid w:val="4C9AB930"/>
    <w:rsid w:val="4CAA7BDD"/>
    <w:rsid w:val="4CBD120A"/>
    <w:rsid w:val="4CDB28B2"/>
    <w:rsid w:val="4CE3C16B"/>
    <w:rsid w:val="4CF6FE4B"/>
    <w:rsid w:val="4CFF57E7"/>
    <w:rsid w:val="4D26DF65"/>
    <w:rsid w:val="4D28C1D3"/>
    <w:rsid w:val="4D318E98"/>
    <w:rsid w:val="4D4A8C36"/>
    <w:rsid w:val="4D523C20"/>
    <w:rsid w:val="4D72556C"/>
    <w:rsid w:val="4D9489A0"/>
    <w:rsid w:val="4DA381E1"/>
    <w:rsid w:val="4DB6AF04"/>
    <w:rsid w:val="4DC26A69"/>
    <w:rsid w:val="4DE11F00"/>
    <w:rsid w:val="4E2955D5"/>
    <w:rsid w:val="4E36AF5C"/>
    <w:rsid w:val="4E489B64"/>
    <w:rsid w:val="4E724DD8"/>
    <w:rsid w:val="4E9325AE"/>
    <w:rsid w:val="4E97E450"/>
    <w:rsid w:val="4EBDB53C"/>
    <w:rsid w:val="4F04896A"/>
    <w:rsid w:val="4F27D5A5"/>
    <w:rsid w:val="4F32C019"/>
    <w:rsid w:val="4F5469CC"/>
    <w:rsid w:val="4F57D8BE"/>
    <w:rsid w:val="4F6EBF2D"/>
    <w:rsid w:val="4F822706"/>
    <w:rsid w:val="4F8963E1"/>
    <w:rsid w:val="4F91D23F"/>
    <w:rsid w:val="4FB7D0A7"/>
    <w:rsid w:val="4FB7F6AC"/>
    <w:rsid w:val="4FBF0A85"/>
    <w:rsid w:val="4FF0CCB2"/>
    <w:rsid w:val="4FF6A6FB"/>
    <w:rsid w:val="4FFEA9D1"/>
    <w:rsid w:val="500ECCD9"/>
    <w:rsid w:val="502375C9"/>
    <w:rsid w:val="5024311C"/>
    <w:rsid w:val="5035C3AA"/>
    <w:rsid w:val="50378461"/>
    <w:rsid w:val="5053E366"/>
    <w:rsid w:val="507D238F"/>
    <w:rsid w:val="5086513A"/>
    <w:rsid w:val="510FF530"/>
    <w:rsid w:val="511CFEC3"/>
    <w:rsid w:val="51511878"/>
    <w:rsid w:val="515FE917"/>
    <w:rsid w:val="518CF761"/>
    <w:rsid w:val="51BC1C61"/>
    <w:rsid w:val="51CB73A2"/>
    <w:rsid w:val="522A63FF"/>
    <w:rsid w:val="5237F244"/>
    <w:rsid w:val="52881152"/>
    <w:rsid w:val="52D0DF21"/>
    <w:rsid w:val="52EE09A0"/>
    <w:rsid w:val="530352AE"/>
    <w:rsid w:val="5322CCA4"/>
    <w:rsid w:val="53261AC6"/>
    <w:rsid w:val="537BD0FD"/>
    <w:rsid w:val="53CA1638"/>
    <w:rsid w:val="53E04920"/>
    <w:rsid w:val="53E7A781"/>
    <w:rsid w:val="5405FBAD"/>
    <w:rsid w:val="5448795D"/>
    <w:rsid w:val="54940EC6"/>
    <w:rsid w:val="549F9637"/>
    <w:rsid w:val="54B61E88"/>
    <w:rsid w:val="54D805AD"/>
    <w:rsid w:val="54DE77CA"/>
    <w:rsid w:val="54E3883A"/>
    <w:rsid w:val="552DF3E1"/>
    <w:rsid w:val="553A2323"/>
    <w:rsid w:val="5592C75F"/>
    <w:rsid w:val="559B5741"/>
    <w:rsid w:val="55B27CD2"/>
    <w:rsid w:val="55B327FC"/>
    <w:rsid w:val="55BBE584"/>
    <w:rsid w:val="55CF0E5E"/>
    <w:rsid w:val="56023675"/>
    <w:rsid w:val="5626C467"/>
    <w:rsid w:val="56346990"/>
    <w:rsid w:val="564385BA"/>
    <w:rsid w:val="566D19F4"/>
    <w:rsid w:val="5685488A"/>
    <w:rsid w:val="569942CF"/>
    <w:rsid w:val="56BA8C78"/>
    <w:rsid w:val="56BAA1CC"/>
    <w:rsid w:val="56D3A52F"/>
    <w:rsid w:val="56F10F7F"/>
    <w:rsid w:val="577DCA4E"/>
    <w:rsid w:val="578274BF"/>
    <w:rsid w:val="57A3065C"/>
    <w:rsid w:val="57A8FE0A"/>
    <w:rsid w:val="57AD2397"/>
    <w:rsid w:val="57B09B99"/>
    <w:rsid w:val="57B8B7AC"/>
    <w:rsid w:val="57BB5FE9"/>
    <w:rsid w:val="57C4DF2B"/>
    <w:rsid w:val="57CA5E0E"/>
    <w:rsid w:val="5829DCD8"/>
    <w:rsid w:val="5832CEB5"/>
    <w:rsid w:val="584429E7"/>
    <w:rsid w:val="5857760F"/>
    <w:rsid w:val="5878B1DC"/>
    <w:rsid w:val="58A800AA"/>
    <w:rsid w:val="58C5344E"/>
    <w:rsid w:val="58D1ED81"/>
    <w:rsid w:val="58ED52D6"/>
    <w:rsid w:val="591790DD"/>
    <w:rsid w:val="5932FF85"/>
    <w:rsid w:val="5936079C"/>
    <w:rsid w:val="598127F4"/>
    <w:rsid w:val="598BF511"/>
    <w:rsid w:val="5994E16B"/>
    <w:rsid w:val="59C72B74"/>
    <w:rsid w:val="5A13FC28"/>
    <w:rsid w:val="5A159206"/>
    <w:rsid w:val="5A26212B"/>
    <w:rsid w:val="5A545A78"/>
    <w:rsid w:val="5A6DA434"/>
    <w:rsid w:val="5AAC3E79"/>
    <w:rsid w:val="5AADCDA1"/>
    <w:rsid w:val="5AADE544"/>
    <w:rsid w:val="5AAFC5AE"/>
    <w:rsid w:val="5AD3396A"/>
    <w:rsid w:val="5AE2CBC2"/>
    <w:rsid w:val="5AEB2473"/>
    <w:rsid w:val="5B05E963"/>
    <w:rsid w:val="5B0AE8DC"/>
    <w:rsid w:val="5B9143D8"/>
    <w:rsid w:val="5BAE1EA7"/>
    <w:rsid w:val="5BC6620F"/>
    <w:rsid w:val="5BE95D89"/>
    <w:rsid w:val="5BE97C10"/>
    <w:rsid w:val="5BFBD8B7"/>
    <w:rsid w:val="5C538FDA"/>
    <w:rsid w:val="5C5C69E4"/>
    <w:rsid w:val="5C5D44F8"/>
    <w:rsid w:val="5C5E1CF0"/>
    <w:rsid w:val="5C84ADB4"/>
    <w:rsid w:val="5CABDA43"/>
    <w:rsid w:val="5CB5092F"/>
    <w:rsid w:val="5CEA28A9"/>
    <w:rsid w:val="5CF14367"/>
    <w:rsid w:val="5D19755A"/>
    <w:rsid w:val="5D350964"/>
    <w:rsid w:val="5D44BDCB"/>
    <w:rsid w:val="5DA3944B"/>
    <w:rsid w:val="5DC9C354"/>
    <w:rsid w:val="5DF405A1"/>
    <w:rsid w:val="5E01A6EE"/>
    <w:rsid w:val="5E0CE9E2"/>
    <w:rsid w:val="5E2158B2"/>
    <w:rsid w:val="5E32BC6B"/>
    <w:rsid w:val="5E484FB0"/>
    <w:rsid w:val="5EAB5395"/>
    <w:rsid w:val="5EAD41AB"/>
    <w:rsid w:val="5EC528CA"/>
    <w:rsid w:val="5ECABB4A"/>
    <w:rsid w:val="5F201A5D"/>
    <w:rsid w:val="5F64704C"/>
    <w:rsid w:val="5FDE9095"/>
    <w:rsid w:val="5FFDBA5C"/>
    <w:rsid w:val="6022006B"/>
    <w:rsid w:val="602A759F"/>
    <w:rsid w:val="60421D16"/>
    <w:rsid w:val="604B88D6"/>
    <w:rsid w:val="605564BD"/>
    <w:rsid w:val="6067CDF5"/>
    <w:rsid w:val="606B487D"/>
    <w:rsid w:val="608A007C"/>
    <w:rsid w:val="60A24AB2"/>
    <w:rsid w:val="60B0FD2D"/>
    <w:rsid w:val="60C4FC47"/>
    <w:rsid w:val="60E4DE14"/>
    <w:rsid w:val="61130661"/>
    <w:rsid w:val="615812E3"/>
    <w:rsid w:val="6182E253"/>
    <w:rsid w:val="6183F365"/>
    <w:rsid w:val="6185BB7C"/>
    <w:rsid w:val="61AA8843"/>
    <w:rsid w:val="61B5E00B"/>
    <w:rsid w:val="61C76465"/>
    <w:rsid w:val="61CB3F42"/>
    <w:rsid w:val="61F90418"/>
    <w:rsid w:val="6200D4D1"/>
    <w:rsid w:val="6214EB35"/>
    <w:rsid w:val="622EA828"/>
    <w:rsid w:val="627231EE"/>
    <w:rsid w:val="6286ADD0"/>
    <w:rsid w:val="62AF3F47"/>
    <w:rsid w:val="6337D01B"/>
    <w:rsid w:val="63B9F47B"/>
    <w:rsid w:val="63BDA711"/>
    <w:rsid w:val="63BE6FBB"/>
    <w:rsid w:val="63DB2E81"/>
    <w:rsid w:val="63FC3C50"/>
    <w:rsid w:val="640A36FE"/>
    <w:rsid w:val="6453DE47"/>
    <w:rsid w:val="6457CBE7"/>
    <w:rsid w:val="64596511"/>
    <w:rsid w:val="6463EB74"/>
    <w:rsid w:val="64A38C37"/>
    <w:rsid w:val="64C5E7FC"/>
    <w:rsid w:val="64FD9B95"/>
    <w:rsid w:val="6528B633"/>
    <w:rsid w:val="65471616"/>
    <w:rsid w:val="654EC4E1"/>
    <w:rsid w:val="654FCAB0"/>
    <w:rsid w:val="655E2BDE"/>
    <w:rsid w:val="6595E135"/>
    <w:rsid w:val="659B0A09"/>
    <w:rsid w:val="65B3740F"/>
    <w:rsid w:val="65BA64CA"/>
    <w:rsid w:val="65C5B28E"/>
    <w:rsid w:val="65DE1C0A"/>
    <w:rsid w:val="65EE03A4"/>
    <w:rsid w:val="65F3A271"/>
    <w:rsid w:val="66160922"/>
    <w:rsid w:val="6618E2CB"/>
    <w:rsid w:val="6630F439"/>
    <w:rsid w:val="663E5177"/>
    <w:rsid w:val="66631572"/>
    <w:rsid w:val="66648A86"/>
    <w:rsid w:val="66B511E5"/>
    <w:rsid w:val="66C90AD3"/>
    <w:rsid w:val="673D5958"/>
    <w:rsid w:val="676D1132"/>
    <w:rsid w:val="679AB731"/>
    <w:rsid w:val="67AD0E78"/>
    <w:rsid w:val="67B16A74"/>
    <w:rsid w:val="67B9E4D1"/>
    <w:rsid w:val="6830D075"/>
    <w:rsid w:val="68324D47"/>
    <w:rsid w:val="6837673B"/>
    <w:rsid w:val="685C705C"/>
    <w:rsid w:val="6861477A"/>
    <w:rsid w:val="688338C1"/>
    <w:rsid w:val="68C83AC0"/>
    <w:rsid w:val="68D053D1"/>
    <w:rsid w:val="68F2ED77"/>
    <w:rsid w:val="68F726FD"/>
    <w:rsid w:val="691DFAEB"/>
    <w:rsid w:val="691E3612"/>
    <w:rsid w:val="692AA623"/>
    <w:rsid w:val="693444EA"/>
    <w:rsid w:val="69455399"/>
    <w:rsid w:val="695A7BF3"/>
    <w:rsid w:val="697FD6D5"/>
    <w:rsid w:val="6985C3FF"/>
    <w:rsid w:val="6986AF03"/>
    <w:rsid w:val="69A7E73C"/>
    <w:rsid w:val="69A866A0"/>
    <w:rsid w:val="69C30766"/>
    <w:rsid w:val="69D5F394"/>
    <w:rsid w:val="69E0BF14"/>
    <w:rsid w:val="69E4EBB7"/>
    <w:rsid w:val="6A144682"/>
    <w:rsid w:val="6A3DA3ED"/>
    <w:rsid w:val="6A61CC2A"/>
    <w:rsid w:val="6A6C1F6F"/>
    <w:rsid w:val="6A92A1E4"/>
    <w:rsid w:val="6AB60964"/>
    <w:rsid w:val="6B1AC2E5"/>
    <w:rsid w:val="6B510837"/>
    <w:rsid w:val="6B777050"/>
    <w:rsid w:val="6BBB6111"/>
    <w:rsid w:val="6BC254B5"/>
    <w:rsid w:val="6BDDF877"/>
    <w:rsid w:val="6BF87FD3"/>
    <w:rsid w:val="6C0C443C"/>
    <w:rsid w:val="6C160F6E"/>
    <w:rsid w:val="6C1D37C8"/>
    <w:rsid w:val="6C3CA7B4"/>
    <w:rsid w:val="6C42C429"/>
    <w:rsid w:val="6C52F4E2"/>
    <w:rsid w:val="6C657E7C"/>
    <w:rsid w:val="6CCD1D31"/>
    <w:rsid w:val="6CE0D53E"/>
    <w:rsid w:val="6CE9B7A7"/>
    <w:rsid w:val="6D0C5EA5"/>
    <w:rsid w:val="6D2E1053"/>
    <w:rsid w:val="6D408600"/>
    <w:rsid w:val="6D471007"/>
    <w:rsid w:val="6D82E360"/>
    <w:rsid w:val="6DBB9548"/>
    <w:rsid w:val="6DCCC6F7"/>
    <w:rsid w:val="6DE39B5E"/>
    <w:rsid w:val="6DF7CDD5"/>
    <w:rsid w:val="6E3EAFFA"/>
    <w:rsid w:val="6E414471"/>
    <w:rsid w:val="6E481EED"/>
    <w:rsid w:val="6E4C29B1"/>
    <w:rsid w:val="6E8334EC"/>
    <w:rsid w:val="6E8C888D"/>
    <w:rsid w:val="6EB183B7"/>
    <w:rsid w:val="6EC21439"/>
    <w:rsid w:val="6EF0BBA3"/>
    <w:rsid w:val="6EF776BD"/>
    <w:rsid w:val="6F1936B9"/>
    <w:rsid w:val="6F30D9B0"/>
    <w:rsid w:val="6F56CD83"/>
    <w:rsid w:val="6F603BE3"/>
    <w:rsid w:val="6FBB9944"/>
    <w:rsid w:val="6FC986A3"/>
    <w:rsid w:val="6FD416AE"/>
    <w:rsid w:val="6FE2C3AE"/>
    <w:rsid w:val="6FE74F98"/>
    <w:rsid w:val="6FED6CDF"/>
    <w:rsid w:val="703EE7C1"/>
    <w:rsid w:val="704616F8"/>
    <w:rsid w:val="706978D7"/>
    <w:rsid w:val="706B1734"/>
    <w:rsid w:val="70784881"/>
    <w:rsid w:val="70897528"/>
    <w:rsid w:val="709036C8"/>
    <w:rsid w:val="70943184"/>
    <w:rsid w:val="709AF596"/>
    <w:rsid w:val="70EAFE4C"/>
    <w:rsid w:val="7113939F"/>
    <w:rsid w:val="714F0C9D"/>
    <w:rsid w:val="7158B29F"/>
    <w:rsid w:val="7163E014"/>
    <w:rsid w:val="716B83DD"/>
    <w:rsid w:val="71C18F84"/>
    <w:rsid w:val="71D4F5F5"/>
    <w:rsid w:val="71D88B10"/>
    <w:rsid w:val="71FD20B3"/>
    <w:rsid w:val="722304C8"/>
    <w:rsid w:val="72727565"/>
    <w:rsid w:val="727D82F7"/>
    <w:rsid w:val="7309F490"/>
    <w:rsid w:val="730C48B7"/>
    <w:rsid w:val="731AFFA2"/>
    <w:rsid w:val="732953DA"/>
    <w:rsid w:val="7338AFBD"/>
    <w:rsid w:val="733AA640"/>
    <w:rsid w:val="735289F9"/>
    <w:rsid w:val="735925B2"/>
    <w:rsid w:val="737815E8"/>
    <w:rsid w:val="7395EB09"/>
    <w:rsid w:val="73BDE239"/>
    <w:rsid w:val="73CCA10F"/>
    <w:rsid w:val="73D36490"/>
    <w:rsid w:val="74215FC7"/>
    <w:rsid w:val="742B9C89"/>
    <w:rsid w:val="744BEF77"/>
    <w:rsid w:val="745C2B6E"/>
    <w:rsid w:val="74620617"/>
    <w:rsid w:val="747193D0"/>
    <w:rsid w:val="7494B57E"/>
    <w:rsid w:val="749CAD70"/>
    <w:rsid w:val="74A32EA2"/>
    <w:rsid w:val="74C5267E"/>
    <w:rsid w:val="750286B5"/>
    <w:rsid w:val="75093F1E"/>
    <w:rsid w:val="7519299B"/>
    <w:rsid w:val="753B693E"/>
    <w:rsid w:val="75542B90"/>
    <w:rsid w:val="756197B4"/>
    <w:rsid w:val="7563BA32"/>
    <w:rsid w:val="75AB6BDA"/>
    <w:rsid w:val="75B4CFC5"/>
    <w:rsid w:val="75CCB30D"/>
    <w:rsid w:val="75D11DB6"/>
    <w:rsid w:val="75D3AA79"/>
    <w:rsid w:val="75DC53BB"/>
    <w:rsid w:val="764549D1"/>
    <w:rsid w:val="76669388"/>
    <w:rsid w:val="7666EF2B"/>
    <w:rsid w:val="767B9F54"/>
    <w:rsid w:val="767C2D53"/>
    <w:rsid w:val="76915563"/>
    <w:rsid w:val="76C61BA8"/>
    <w:rsid w:val="76FAF302"/>
    <w:rsid w:val="770AFA13"/>
    <w:rsid w:val="7714C3B5"/>
    <w:rsid w:val="774E3526"/>
    <w:rsid w:val="776F609B"/>
    <w:rsid w:val="77E9DCEA"/>
    <w:rsid w:val="77F86B68"/>
    <w:rsid w:val="780CF07A"/>
    <w:rsid w:val="78345BD1"/>
    <w:rsid w:val="783F2F8D"/>
    <w:rsid w:val="786DF4A3"/>
    <w:rsid w:val="787FFC49"/>
    <w:rsid w:val="7891EB59"/>
    <w:rsid w:val="78953F09"/>
    <w:rsid w:val="78E5D078"/>
    <w:rsid w:val="78E70638"/>
    <w:rsid w:val="79188B75"/>
    <w:rsid w:val="79453AC3"/>
    <w:rsid w:val="79489871"/>
    <w:rsid w:val="79595073"/>
    <w:rsid w:val="7977F62A"/>
    <w:rsid w:val="7978580E"/>
    <w:rsid w:val="7999D471"/>
    <w:rsid w:val="79B8DF53"/>
    <w:rsid w:val="79D9A12E"/>
    <w:rsid w:val="79EEE0EA"/>
    <w:rsid w:val="79F5B3B9"/>
    <w:rsid w:val="79FAB446"/>
    <w:rsid w:val="7A5F1A69"/>
    <w:rsid w:val="7A6C4719"/>
    <w:rsid w:val="7A6E8D3A"/>
    <w:rsid w:val="7A7B929A"/>
    <w:rsid w:val="7AA217C6"/>
    <w:rsid w:val="7AB13597"/>
    <w:rsid w:val="7ACC07F7"/>
    <w:rsid w:val="7AE55597"/>
    <w:rsid w:val="7AF3B979"/>
    <w:rsid w:val="7B236029"/>
    <w:rsid w:val="7B63242E"/>
    <w:rsid w:val="7B8136CE"/>
    <w:rsid w:val="7B878A8E"/>
    <w:rsid w:val="7B8A9011"/>
    <w:rsid w:val="7BC13A82"/>
    <w:rsid w:val="7BC5FC5A"/>
    <w:rsid w:val="7BF19B58"/>
    <w:rsid w:val="7BFA1FA7"/>
    <w:rsid w:val="7C8300E6"/>
    <w:rsid w:val="7C831426"/>
    <w:rsid w:val="7C86208E"/>
    <w:rsid w:val="7C8CB7CC"/>
    <w:rsid w:val="7C93813B"/>
    <w:rsid w:val="7C93ECA9"/>
    <w:rsid w:val="7CCA2BF3"/>
    <w:rsid w:val="7CD065E3"/>
    <w:rsid w:val="7CDA916B"/>
    <w:rsid w:val="7CDDDD03"/>
    <w:rsid w:val="7CEFE3E5"/>
    <w:rsid w:val="7D12DA32"/>
    <w:rsid w:val="7D2EBDDD"/>
    <w:rsid w:val="7D51A239"/>
    <w:rsid w:val="7D63A121"/>
    <w:rsid w:val="7D825618"/>
    <w:rsid w:val="7DC1AEDF"/>
    <w:rsid w:val="7E0519DD"/>
    <w:rsid w:val="7E0615A8"/>
    <w:rsid w:val="7E59F684"/>
    <w:rsid w:val="7E5CD150"/>
    <w:rsid w:val="7E877EFA"/>
    <w:rsid w:val="7E99920A"/>
    <w:rsid w:val="7EA3871F"/>
    <w:rsid w:val="7EA4C956"/>
    <w:rsid w:val="7EAC4EB1"/>
    <w:rsid w:val="7EB98897"/>
    <w:rsid w:val="7ECC3346"/>
    <w:rsid w:val="7ED1AA41"/>
    <w:rsid w:val="7ED66365"/>
    <w:rsid w:val="7EE64BF9"/>
    <w:rsid w:val="7EFA5819"/>
    <w:rsid w:val="7F1D4D97"/>
    <w:rsid w:val="7F31E1F1"/>
    <w:rsid w:val="7F3F6D41"/>
    <w:rsid w:val="7F639A9C"/>
    <w:rsid w:val="7F6A76CF"/>
    <w:rsid w:val="7F879C49"/>
    <w:rsid w:val="7FAF4E87"/>
    <w:rsid w:val="7FB9511D"/>
    <w:rsid w:val="7FBC4764"/>
    <w:rsid w:val="7FC0631D"/>
    <w:rsid w:val="7FD10626"/>
    <w:rsid w:val="7FD3E48B"/>
    <w:rsid w:val="7FD74B35"/>
    <w:rsid w:val="7FDD63E6"/>
    <w:rsid w:val="7FEB4CEB"/>
    <w:rsid w:val="7FF4EBF4"/>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3C4F10"/>
  <w15:docId w15:val="{31E6973B-DFD2-4EE7-AB0B-F76408A8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NormalWeb">
    <w:name w:val="Normal (Web)"/>
    <w:basedOn w:val="Normal"/>
    <w:uiPriority w:val="99"/>
    <w:semiHidden/>
    <w:unhideWhenUsed/>
    <w:rsid w:val="009D40D4"/>
    <w:rPr>
      <w:rFonts w:ascii="Times New Roman" w:hAnsi="Times New Roman" w:cs="Times New Roman"/>
      <w:sz w:val="24"/>
      <w:szCs w:val="24"/>
    </w:rPr>
  </w:style>
  <w:style w:type="paragraph" w:styleId="ListParagraph">
    <w:name w:val="List Paragraph"/>
    <w:basedOn w:val="Normal"/>
    <w:qFormat/>
    <w:rsid w:val="0054398A"/>
    <w:pPr>
      <w:ind w:left="720"/>
      <w:contextualSpacing/>
    </w:pPr>
  </w:style>
  <w:style w:type="paragraph" w:styleId="Revision">
    <w:name w:val="Revision"/>
    <w:hidden/>
    <w:semiHidden/>
    <w:rsid w:val="00E07997"/>
    <w:rPr>
      <w:rFonts w:ascii="Verdana" w:eastAsia="Arial" w:hAnsi="Verdana" w:cs="Arial"/>
      <w:lang w:val="en-GB" w:eastAsia="en-US"/>
    </w:rPr>
  </w:style>
  <w:style w:type="character" w:customStyle="1" w:styleId="normaltextrun">
    <w:name w:val="normaltextrun"/>
    <w:basedOn w:val="DefaultParagraphFont"/>
    <w:rsid w:val="00EE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2648">
      <w:bodyDiv w:val="1"/>
      <w:marLeft w:val="0"/>
      <w:marRight w:val="0"/>
      <w:marTop w:val="0"/>
      <w:marBottom w:val="0"/>
      <w:divBdr>
        <w:top w:val="none" w:sz="0" w:space="0" w:color="auto"/>
        <w:left w:val="none" w:sz="0" w:space="0" w:color="auto"/>
        <w:bottom w:val="none" w:sz="0" w:space="0" w:color="auto"/>
        <w:right w:val="none" w:sz="0" w:space="0" w:color="auto"/>
      </w:divBdr>
    </w:div>
    <w:div w:id="284772273">
      <w:bodyDiv w:val="1"/>
      <w:marLeft w:val="0"/>
      <w:marRight w:val="0"/>
      <w:marTop w:val="0"/>
      <w:marBottom w:val="0"/>
      <w:divBdr>
        <w:top w:val="none" w:sz="0" w:space="0" w:color="auto"/>
        <w:left w:val="none" w:sz="0" w:space="0" w:color="auto"/>
        <w:bottom w:val="none" w:sz="0" w:space="0" w:color="auto"/>
        <w:right w:val="none" w:sz="0" w:space="0" w:color="auto"/>
      </w:divBdr>
    </w:div>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624387258">
      <w:bodyDiv w:val="1"/>
      <w:marLeft w:val="0"/>
      <w:marRight w:val="0"/>
      <w:marTop w:val="0"/>
      <w:marBottom w:val="0"/>
      <w:divBdr>
        <w:top w:val="none" w:sz="0" w:space="0" w:color="auto"/>
        <w:left w:val="none" w:sz="0" w:space="0" w:color="auto"/>
        <w:bottom w:val="none" w:sz="0" w:space="0" w:color="auto"/>
        <w:right w:val="none" w:sz="0" w:space="0" w:color="auto"/>
      </w:divBdr>
    </w:div>
    <w:div w:id="639842170">
      <w:bodyDiv w:val="1"/>
      <w:marLeft w:val="0"/>
      <w:marRight w:val="0"/>
      <w:marTop w:val="0"/>
      <w:marBottom w:val="0"/>
      <w:divBdr>
        <w:top w:val="none" w:sz="0" w:space="0" w:color="auto"/>
        <w:left w:val="none" w:sz="0" w:space="0" w:color="auto"/>
        <w:bottom w:val="none" w:sz="0" w:space="0" w:color="auto"/>
        <w:right w:val="none" w:sz="0" w:space="0" w:color="auto"/>
      </w:divBdr>
    </w:div>
    <w:div w:id="687483980">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928343443">
      <w:bodyDiv w:val="1"/>
      <w:marLeft w:val="0"/>
      <w:marRight w:val="0"/>
      <w:marTop w:val="0"/>
      <w:marBottom w:val="0"/>
      <w:divBdr>
        <w:top w:val="none" w:sz="0" w:space="0" w:color="auto"/>
        <w:left w:val="none" w:sz="0" w:space="0" w:color="auto"/>
        <w:bottom w:val="none" w:sz="0" w:space="0" w:color="auto"/>
        <w:right w:val="none" w:sz="0" w:space="0" w:color="auto"/>
      </w:divBdr>
    </w:div>
    <w:div w:id="1026522468">
      <w:bodyDiv w:val="1"/>
      <w:marLeft w:val="0"/>
      <w:marRight w:val="0"/>
      <w:marTop w:val="0"/>
      <w:marBottom w:val="0"/>
      <w:divBdr>
        <w:top w:val="none" w:sz="0" w:space="0" w:color="auto"/>
        <w:left w:val="none" w:sz="0" w:space="0" w:color="auto"/>
        <w:bottom w:val="none" w:sz="0" w:space="0" w:color="auto"/>
        <w:right w:val="none" w:sz="0" w:space="0" w:color="auto"/>
      </w:divBdr>
    </w:div>
    <w:div w:id="1125611986">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275789565">
      <w:bodyDiv w:val="1"/>
      <w:marLeft w:val="0"/>
      <w:marRight w:val="0"/>
      <w:marTop w:val="0"/>
      <w:marBottom w:val="0"/>
      <w:divBdr>
        <w:top w:val="none" w:sz="0" w:space="0" w:color="auto"/>
        <w:left w:val="none" w:sz="0" w:space="0" w:color="auto"/>
        <w:bottom w:val="none" w:sz="0" w:space="0" w:color="auto"/>
        <w:right w:val="none" w:sz="0" w:space="0" w:color="auto"/>
      </w:divBdr>
    </w:div>
    <w:div w:id="1416367074">
      <w:bodyDiv w:val="1"/>
      <w:marLeft w:val="0"/>
      <w:marRight w:val="0"/>
      <w:marTop w:val="0"/>
      <w:marBottom w:val="0"/>
      <w:divBdr>
        <w:top w:val="none" w:sz="0" w:space="0" w:color="auto"/>
        <w:left w:val="none" w:sz="0" w:space="0" w:color="auto"/>
        <w:bottom w:val="none" w:sz="0" w:space="0" w:color="auto"/>
        <w:right w:val="none" w:sz="0" w:space="0" w:color="auto"/>
      </w:divBdr>
    </w:div>
    <w:div w:id="1607231580">
      <w:bodyDiv w:val="1"/>
      <w:marLeft w:val="0"/>
      <w:marRight w:val="0"/>
      <w:marTop w:val="0"/>
      <w:marBottom w:val="0"/>
      <w:divBdr>
        <w:top w:val="none" w:sz="0" w:space="0" w:color="auto"/>
        <w:left w:val="none" w:sz="0" w:space="0" w:color="auto"/>
        <w:bottom w:val="none" w:sz="0" w:space="0" w:color="auto"/>
        <w:right w:val="none" w:sz="0" w:space="0" w:color="auto"/>
      </w:divBdr>
    </w:div>
    <w:div w:id="1897162498">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 w:id="21088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ibrary.wmo.int/doc_num.php?explnum_id=11008"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brary.wmo.int/doc_num.php?explnum_id=105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68312dd2-3639-4b1b-b202-d938ad46ea5b">
      <Terms xmlns="http://schemas.microsoft.com/office/infopath/2007/PartnerControls"/>
    </lcf76f155ced4ddcb4097134ff3c332f>
    <TaxCatchAll xmlns="42438b4c-432b-463a-b563-c28767b9dfbb" xsi:nil="true"/>
    <WMOWFApprovalStatus xmlns="715fcdb6-58ff-4d84-993c-bb26a5b54815">Not Submitted</WMOWFApprovalStatus>
    <_dlc_DocId xmlns="42438b4c-432b-463a-b563-c28767b9dfbb">CVWQ3XTXEZK7-853056281-33077</_dlc_DocId>
    <_dlc_DocIdUrl xmlns="42438b4c-432b-463a-b563-c28767b9dfbb">
      <Url>https://wmoomm.sharepoint.com/sites/IOO/_layouts/15/DocIdRedir.aspx?ID=CVWQ3XTXEZK7-853056281-33077</Url>
      <Description>CVWQ3XTXEZK7-853056281-33077</Description>
    </_dlc_DocIdUrl>
    <_Flow_SignoffStatus xmlns="68312dd2-3639-4b1b-b202-d938ad46ea5b"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F4D3267EE928419A04E898EBE69473" ma:contentTypeVersion="22" ma:contentTypeDescription="Create a new document." ma:contentTypeScope="" ma:versionID="cef4e4148501282ca2785ac979bea25d">
  <xsd:schema xmlns:xsd="http://www.w3.org/2001/XMLSchema" xmlns:xs="http://www.w3.org/2001/XMLSchema" xmlns:p="http://schemas.microsoft.com/office/2006/metadata/properties" xmlns:ns2="715fcdb6-58ff-4d84-993c-bb26a5b54815" xmlns:ns3="68312dd2-3639-4b1b-b202-d938ad46ea5b" xmlns:ns4="42438b4c-432b-463a-b563-c28767b9dfbb" targetNamespace="http://schemas.microsoft.com/office/2006/metadata/properties" ma:root="true" ma:fieldsID="b16a2d3520ac18232c872170b4eb2cb9" ns2:_="" ns3:_="" ns4:_="">
    <xsd:import namespace="715fcdb6-58ff-4d84-993c-bb26a5b54815"/>
    <xsd:import namespace="68312dd2-3639-4b1b-b202-d938ad46ea5b"/>
    <xsd:import namespace="42438b4c-432b-463a-b563-c28767b9dfbb"/>
    <xsd:element name="properties">
      <xsd:complexType>
        <xsd:sequence>
          <xsd:element name="documentManagement">
            <xsd:complexType>
              <xsd:all>
                <xsd:element ref="ns2:WMOWFApprovalStatus"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4:_dlc_DocId" minOccurs="0"/>
                <xsd:element ref="ns4:_dlc_DocIdUrl" minOccurs="0"/>
                <xsd:element ref="ns4:_dlc_DocIdPersistId"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68312dd2-3639-4b1b-b202-d938ad46ea5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38b4c-432b-463a-b563-c28767b9dfb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573bbb-1153-4745-9c6b-de777873ee94}" ma:internalName="TaxCatchAll" ma:showField="CatchAllData" ma:web="42438b4c-432b-463a-b563-c28767b9dfb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2a3b380-abf6-46f2-87bb-c2c114de1c9e"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C0D01-ED4D-474A-8854-B02FF192B703}">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0e656187-b300-4fb0-8bf4-3a50f872073c"/>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C1AD456-E90C-42C0-BB7F-FD140E565931}">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E84F9CE1-88AF-4307-9E4F-95DAE49F8F25}"/>
</file>

<file path=customXml/itemProps4.xml><?xml version="1.0" encoding="utf-8"?>
<ds:datastoreItem xmlns:ds="http://schemas.openxmlformats.org/officeDocument/2006/customXml" ds:itemID="{D335488A-E02E-43A2-A924-C2B977AFCAA0}"/>
</file>

<file path=customXml/itemProps5.xml><?xml version="1.0" encoding="utf-8"?>
<ds:datastoreItem xmlns:ds="http://schemas.openxmlformats.org/officeDocument/2006/customXml" ds:itemID="{D23979A0-7FB6-4E13-BFB5-46105F4ABF27}"/>
</file>

<file path=customXml/itemProps6.xml><?xml version="1.0" encoding="utf-8"?>
<ds:datastoreItem xmlns:ds="http://schemas.openxmlformats.org/officeDocument/2006/customXml" ds:itemID="{07635DAC-E681-45E6-932A-ACFB83F98805}">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Alok Kumar Ojha</dc:creator>
  <cp:lastModifiedBy>Lionel Courtial</cp:lastModifiedBy>
  <cp:revision>2</cp:revision>
  <cp:lastPrinted>2025-05-21T11:57:00Z</cp:lastPrinted>
  <dcterms:created xsi:type="dcterms:W3CDTF">2025-05-22T14:17:00Z</dcterms:created>
  <dcterms:modified xsi:type="dcterms:W3CDTF">2025-05-22T14:17:00Z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0x01010031F4D3267EE928419A04E898EBE69473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77d37394-b26c-44d4-91f3-85fb28a84551</vt:lpwstr>
  </property>
  <property fmtid="{D5CDD505-2E9C-101B-9397-08002B2CF9AE}" pid="8" name="_dlc_DocIdItemGuid">
    <vt:lpwstr>a5d8e6bd-e13f-4de0-9172-6c8511e8b859</vt:lpwstr>
  </property>
</Properties>
</file>