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adjustRightInd w:val="0"/>
        <w:spacing w:after="0" w:line="360" w:lineRule="exact"/>
        <w:jc w:val="center"/>
        <w:rPr>
          <w:rFonts w:ascii="Times New Roman" w:hAnsi="Times New Roman" w:eastAsia="方正小标宋简体"/>
          <w:b/>
          <w:bCs/>
          <w:color w:val="000000"/>
          <w:sz w:val="24"/>
          <w:szCs w:val="24"/>
          <w:lang w:val="en-US"/>
        </w:rPr>
      </w:pPr>
      <w:bookmarkStart w:id="0" w:name="_GoBack"/>
      <w:r>
        <w:rPr>
          <w:rFonts w:ascii="Times New Roman" w:hAnsi="Times New Roman"/>
          <w:b/>
          <w:bCs/>
          <w:sz w:val="24"/>
          <w:szCs w:val="24"/>
        </w:rPr>
        <w:t>Summary Report of the Kick-off</w:t>
      </w:r>
      <w:r>
        <w:rPr>
          <w:rFonts w:ascii="Times New Roman" w:hAnsi="Times New Roman" w:eastAsia="方正小标宋简体"/>
          <w:b/>
          <w:bCs/>
          <w:color w:val="000000"/>
          <w:sz w:val="24"/>
          <w:szCs w:val="24"/>
          <w:lang w:val="en-US"/>
        </w:rPr>
        <w:t xml:space="preserve"> Meeting of WMO RA II Pilot Project on Public-Private Engagement for Smart Meteorological Services in Mega-Cities (PPE-SMSC)</w:t>
      </w:r>
    </w:p>
    <w:bookmarkEnd w:id="0"/>
    <w:p>
      <w:pPr>
        <w:autoSpaceDE w:val="0"/>
        <w:autoSpaceDN w:val="0"/>
        <w:adjustRightInd w:val="0"/>
        <w:spacing w:line="360" w:lineRule="exact"/>
        <w:jc w:val="center"/>
        <w:rPr>
          <w:rFonts w:ascii="Times New Roman" w:hAnsi="Times New Roman" w:eastAsia="方正小标宋简体" w:cs="Times New Roman"/>
          <w:color w:val="000000"/>
          <w:kern w:val="0"/>
          <w:sz w:val="24"/>
          <w:szCs w:val="24"/>
        </w:rPr>
      </w:pPr>
      <w:r>
        <w:rPr>
          <w:rFonts w:ascii="Times New Roman" w:hAnsi="Times New Roman" w:eastAsia="方正小标宋简体" w:cs="Times New Roman"/>
          <w:color w:val="000000"/>
          <w:kern w:val="0"/>
          <w:sz w:val="24"/>
          <w:szCs w:val="24"/>
        </w:rPr>
        <w:t>(</w:t>
      </w:r>
      <w:r>
        <w:rPr>
          <w:rFonts w:hint="eastAsia" w:ascii="Times New Roman" w:hAnsi="Times New Roman" w:eastAsia="方正小标宋简体" w:cs="Times New Roman"/>
          <w:color w:val="000000"/>
          <w:kern w:val="0"/>
          <w:sz w:val="24"/>
          <w:szCs w:val="24"/>
        </w:rPr>
        <w:t>host by CMA, HKO, SMG</w:t>
      </w:r>
      <w:r>
        <w:rPr>
          <w:rFonts w:ascii="Times New Roman" w:hAnsi="Times New Roman" w:eastAsia="方正小标宋简体" w:cs="Times New Roman"/>
          <w:color w:val="000000"/>
          <w:kern w:val="0"/>
          <w:sz w:val="24"/>
          <w:szCs w:val="24"/>
        </w:rPr>
        <w:t xml:space="preserve">, </w:t>
      </w:r>
      <w:r>
        <w:rPr>
          <w:rFonts w:hint="eastAsia" w:ascii="Times New Roman" w:hAnsi="Times New Roman" w:eastAsia="方正小标宋简体" w:cs="Times New Roman"/>
          <w:color w:val="000000"/>
          <w:kern w:val="0"/>
          <w:sz w:val="24"/>
          <w:szCs w:val="24"/>
        </w:rPr>
        <w:t>25th</w:t>
      </w:r>
      <w:r>
        <w:rPr>
          <w:rFonts w:ascii="Times New Roman" w:hAnsi="Times New Roman" w:eastAsia="方正小标宋简体" w:cs="Times New Roman"/>
          <w:color w:val="000000"/>
          <w:kern w:val="0"/>
          <w:sz w:val="24"/>
          <w:szCs w:val="24"/>
        </w:rPr>
        <w:t xml:space="preserve"> </w:t>
      </w:r>
      <w:r>
        <w:rPr>
          <w:rFonts w:hint="eastAsia" w:ascii="Times New Roman" w:hAnsi="Times New Roman" w:eastAsia="方正小标宋简体" w:cs="Times New Roman"/>
          <w:color w:val="000000"/>
          <w:kern w:val="0"/>
          <w:sz w:val="24"/>
          <w:szCs w:val="24"/>
        </w:rPr>
        <w:t>Feb</w:t>
      </w:r>
      <w:r>
        <w:rPr>
          <w:rFonts w:ascii="Times New Roman" w:hAnsi="Times New Roman" w:eastAsia="方正小标宋简体" w:cs="Times New Roman"/>
          <w:color w:val="000000"/>
          <w:kern w:val="0"/>
          <w:sz w:val="24"/>
          <w:szCs w:val="24"/>
        </w:rPr>
        <w:t xml:space="preserve"> 202</w:t>
      </w:r>
      <w:r>
        <w:rPr>
          <w:rFonts w:hint="eastAsia" w:ascii="Times New Roman" w:hAnsi="Times New Roman" w:eastAsia="方正小标宋简体" w:cs="Times New Roman"/>
          <w:color w:val="000000"/>
          <w:kern w:val="0"/>
          <w:sz w:val="24"/>
          <w:szCs w:val="24"/>
        </w:rPr>
        <w:t>2</w:t>
      </w:r>
      <w:r>
        <w:rPr>
          <w:rFonts w:ascii="Times New Roman" w:hAnsi="Times New Roman" w:eastAsia="方正小标宋简体" w:cs="Times New Roman"/>
          <w:color w:val="000000"/>
          <w:kern w:val="0"/>
          <w:sz w:val="24"/>
          <w:szCs w:val="24"/>
        </w:rPr>
        <w:t>)</w:t>
      </w:r>
    </w:p>
    <w:p>
      <w:pPr>
        <w:autoSpaceDE w:val="0"/>
        <w:autoSpaceDN w:val="0"/>
        <w:adjustRightInd w:val="0"/>
        <w:spacing w:line="360" w:lineRule="exact"/>
        <w:jc w:val="center"/>
        <w:rPr>
          <w:rFonts w:ascii="Times New Roman" w:hAnsi="Times New Roman" w:eastAsia="方正小标宋简体" w:cs="Times New Roman"/>
          <w:color w:val="000000"/>
          <w:kern w:val="0"/>
          <w:sz w:val="24"/>
          <w:szCs w:val="24"/>
        </w:rPr>
      </w:pPr>
      <w:r>
        <w:rPr>
          <w:rFonts w:ascii="Times New Roman" w:hAnsi="Times New Roman" w:eastAsia="方正小标宋简体" w:cs="Times New Roman"/>
          <w:color w:val="000000"/>
          <w:kern w:val="0"/>
          <w:sz w:val="24"/>
          <w:szCs w:val="24"/>
        </w:rPr>
        <w:t>(Draft)</w:t>
      </w:r>
    </w:p>
    <w:p>
      <w:pPr>
        <w:autoSpaceDE w:val="0"/>
        <w:autoSpaceDN w:val="0"/>
        <w:adjustRightInd w:val="0"/>
        <w:spacing w:line="360" w:lineRule="exact"/>
        <w:jc w:val="center"/>
        <w:rPr>
          <w:rFonts w:ascii="Times New Roman" w:hAnsi="Times New Roman" w:eastAsia="方正小标宋简体" w:cs="Times New Roman"/>
          <w:color w:val="000000"/>
          <w:kern w:val="0"/>
          <w:sz w:val="24"/>
          <w:szCs w:val="24"/>
        </w:rPr>
      </w:pPr>
    </w:p>
    <w:p>
      <w:pPr>
        <w:adjustRightInd w:val="0"/>
        <w:spacing w:line="360" w:lineRule="exact"/>
        <w:rPr>
          <w:rFonts w:ascii="Times New Roman" w:hAnsi="Times New Roman" w:cs="Times New Roman"/>
          <w:b/>
          <w:sz w:val="24"/>
          <w:szCs w:val="24"/>
        </w:rPr>
      </w:pPr>
      <w:r>
        <w:rPr>
          <w:rFonts w:ascii="Times New Roman" w:hAnsi="Times New Roman" w:cs="Times New Roman"/>
          <w:b/>
          <w:sz w:val="24"/>
          <w:szCs w:val="24"/>
        </w:rPr>
        <w:t>Agenda</w:t>
      </w:r>
    </w:p>
    <w:p>
      <w:pPr>
        <w:pStyle w:val="11"/>
        <w:numPr>
          <w:ilvl w:val="0"/>
          <w:numId w:val="1"/>
        </w:numPr>
        <w:snapToGrid w:val="0"/>
        <w:spacing w:after="120"/>
        <w:ind w:left="0" w:firstLine="480"/>
        <w:rPr>
          <w:rFonts w:ascii="Arial" w:hAnsi="Arial" w:cs="Arial"/>
          <w:sz w:val="24"/>
          <w:szCs w:val="24"/>
        </w:rPr>
      </w:pPr>
      <w:r>
        <w:rPr>
          <w:rFonts w:hint="eastAsia" w:ascii="Arial" w:hAnsi="Arial" w:cs="Arial"/>
          <w:sz w:val="24"/>
          <w:szCs w:val="24"/>
        </w:rPr>
        <w:t>Opening remarks</w:t>
      </w:r>
    </w:p>
    <w:p>
      <w:pPr>
        <w:pStyle w:val="11"/>
        <w:numPr>
          <w:ilvl w:val="0"/>
          <w:numId w:val="1"/>
        </w:numPr>
        <w:snapToGrid w:val="0"/>
        <w:spacing w:after="120"/>
        <w:ind w:left="0" w:firstLine="480"/>
        <w:rPr>
          <w:rFonts w:ascii="Arial" w:hAnsi="Arial" w:cs="Arial"/>
          <w:sz w:val="24"/>
          <w:szCs w:val="24"/>
          <w:lang w:val="en-SG"/>
        </w:rPr>
      </w:pPr>
      <w:r>
        <w:rPr>
          <w:rFonts w:hint="eastAsia" w:ascii="Arial" w:hAnsi="Arial" w:cs="Arial"/>
          <w:sz w:val="24"/>
          <w:szCs w:val="24"/>
          <w:lang w:val="en-SG"/>
        </w:rPr>
        <w:t xml:space="preserve">Presentation of project organization structure, action plan and timeline </w:t>
      </w:r>
    </w:p>
    <w:p>
      <w:pPr>
        <w:pStyle w:val="11"/>
        <w:numPr>
          <w:ilvl w:val="0"/>
          <w:numId w:val="1"/>
        </w:numPr>
        <w:snapToGrid w:val="0"/>
        <w:spacing w:after="120"/>
        <w:ind w:left="0" w:firstLine="480"/>
        <w:rPr>
          <w:rFonts w:ascii="Arial" w:hAnsi="Arial" w:cs="Arial"/>
          <w:sz w:val="24"/>
          <w:szCs w:val="24"/>
          <w:lang w:val="en-SG"/>
        </w:rPr>
      </w:pPr>
      <w:r>
        <w:rPr>
          <w:rFonts w:hint="eastAsia" w:ascii="Arial" w:hAnsi="Arial" w:cs="Arial"/>
          <w:sz w:val="24"/>
          <w:szCs w:val="24"/>
          <w:lang w:val="en-SG"/>
        </w:rPr>
        <w:t>Technical reports and Discussion</w:t>
      </w:r>
    </w:p>
    <w:p>
      <w:pPr>
        <w:pStyle w:val="11"/>
        <w:numPr>
          <w:ilvl w:val="0"/>
          <w:numId w:val="1"/>
        </w:numPr>
        <w:snapToGrid w:val="0"/>
        <w:spacing w:after="120"/>
        <w:ind w:left="0" w:firstLine="480"/>
        <w:rPr>
          <w:rFonts w:ascii="Arial" w:hAnsi="Arial" w:cs="Arial"/>
          <w:sz w:val="24"/>
          <w:szCs w:val="24"/>
        </w:rPr>
      </w:pPr>
      <w:r>
        <w:rPr>
          <w:rFonts w:hint="eastAsia" w:ascii="Arial" w:hAnsi="Arial" w:cs="Arial"/>
          <w:sz w:val="24"/>
          <w:szCs w:val="24"/>
          <w:lang w:val="en-SG"/>
        </w:rPr>
        <w:t xml:space="preserve"> Summary and closing remarks</w:t>
      </w:r>
    </w:p>
    <w:p>
      <w:pPr>
        <w:spacing w:line="320" w:lineRule="exact"/>
        <w:jc w:val="left"/>
        <w:rPr>
          <w:rFonts w:ascii="Times New Roman" w:hAnsi="Times New Roman" w:cs="Times New Roman"/>
          <w:sz w:val="24"/>
          <w:szCs w:val="24"/>
        </w:rPr>
      </w:pPr>
    </w:p>
    <w:p>
      <w:pPr>
        <w:adjustRightInd w:val="0"/>
        <w:spacing w:line="360" w:lineRule="exact"/>
        <w:rPr>
          <w:rFonts w:ascii="Times New Roman" w:hAnsi="Times New Roman" w:cs="Times New Roman"/>
          <w:b/>
          <w:sz w:val="24"/>
          <w:szCs w:val="24"/>
        </w:rPr>
      </w:pPr>
      <w:r>
        <w:rPr>
          <w:rFonts w:ascii="Times New Roman" w:hAnsi="Times New Roman" w:cs="Times New Roman"/>
          <w:b/>
          <w:sz w:val="24"/>
          <w:szCs w:val="24"/>
        </w:rPr>
        <w:t>Introduction</w:t>
      </w:r>
    </w:p>
    <w:p>
      <w:pPr>
        <w:spacing w:line="320" w:lineRule="exact"/>
        <w:rPr>
          <w:rFonts w:ascii="Times New Roman" w:hAnsi="Times New Roman" w:cs="Times New Roman"/>
          <w:sz w:val="24"/>
          <w:szCs w:val="24"/>
        </w:rPr>
      </w:pPr>
      <w:r>
        <w:rPr>
          <w:rFonts w:ascii="Times New Roman" w:hAnsi="Times New Roman" w:eastAsia="PingFang SC" w:cs="Times New Roman"/>
          <w:sz w:val="24"/>
          <w:szCs w:val="24"/>
        </w:rPr>
        <w:t xml:space="preserve">Thanks to the efforts and preparations made since the </w:t>
      </w:r>
      <w:r>
        <w:rPr>
          <w:rFonts w:hint="eastAsia" w:ascii="Times New Roman" w:hAnsi="Times New Roman" w:eastAsia="PingFang SC" w:cs="Times New Roman"/>
          <w:sz w:val="24"/>
          <w:szCs w:val="24"/>
        </w:rPr>
        <w:t>prepar</w:t>
      </w:r>
      <w:r>
        <w:rPr>
          <w:rFonts w:ascii="Times New Roman" w:hAnsi="Times New Roman" w:eastAsia="PingFang SC" w:cs="Times New Roman"/>
          <w:sz w:val="24"/>
          <w:szCs w:val="24"/>
        </w:rPr>
        <w:t xml:space="preserve">atory meeting held virtually on 15 December 2021, the Kick-off Meeting of </w:t>
      </w:r>
      <w:r>
        <w:rPr>
          <w:rFonts w:hint="eastAsia" w:ascii="Times New Roman" w:hAnsi="Times New Roman" w:eastAsia="PingFang SC" w:cs="Times New Roman"/>
          <w:sz w:val="24"/>
          <w:szCs w:val="24"/>
        </w:rPr>
        <w:t xml:space="preserve">WMO </w:t>
      </w:r>
      <w:r>
        <w:rPr>
          <w:rFonts w:ascii="Times New Roman" w:hAnsi="Times New Roman" w:eastAsia="PingFang SC" w:cs="Times New Roman"/>
          <w:sz w:val="24"/>
          <w:szCs w:val="24"/>
        </w:rPr>
        <w:t xml:space="preserve">RA II </w:t>
      </w:r>
      <w:r>
        <w:rPr>
          <w:rFonts w:hint="eastAsia" w:ascii="Times New Roman" w:hAnsi="Times New Roman" w:eastAsia="PingFang SC" w:cs="Times New Roman"/>
          <w:sz w:val="24"/>
          <w:szCs w:val="24"/>
        </w:rPr>
        <w:t>Pilot Project</w:t>
      </w:r>
      <w:r>
        <w:rPr>
          <w:rFonts w:ascii="Times New Roman" w:hAnsi="Times New Roman" w:eastAsia="PingFang SC" w:cs="Times New Roman"/>
          <w:sz w:val="24"/>
          <w:szCs w:val="24"/>
        </w:rPr>
        <w:t xml:space="preserve"> on Public-Private Engagement for Smart Meteorological Services in Mega-Cities (PPE-SMSC) took place online for two hours during </w:t>
      </w:r>
      <w:r>
        <w:rPr>
          <w:rFonts w:ascii="Times New Roman" w:hAnsi="Times New Roman" w:eastAsia="PingFang SC" w:cs="Times New Roman"/>
          <w:sz w:val="24"/>
          <w:szCs w:val="24"/>
          <w:lang w:val="en-SG"/>
        </w:rPr>
        <w:t>08:00-</w:t>
      </w:r>
      <w:r>
        <w:rPr>
          <w:rFonts w:hint="eastAsia" w:ascii="Times New Roman" w:hAnsi="Times New Roman" w:eastAsia="宋体" w:cs="Times New Roman"/>
          <w:sz w:val="24"/>
          <w:szCs w:val="24"/>
        </w:rPr>
        <w:t>10</w:t>
      </w:r>
      <w:r>
        <w:rPr>
          <w:rFonts w:ascii="Times New Roman" w:hAnsi="Times New Roman" w:eastAsia="PingFang SC" w:cs="Times New Roman"/>
          <w:sz w:val="24"/>
          <w:szCs w:val="24"/>
          <w:lang w:val="en-SG"/>
        </w:rPr>
        <w:t>:0</w:t>
      </w:r>
      <w:r>
        <w:rPr>
          <w:rFonts w:hint="eastAsia" w:ascii="Times New Roman" w:hAnsi="Times New Roman" w:eastAsia="宋体" w:cs="Times New Roman"/>
          <w:sz w:val="24"/>
          <w:szCs w:val="24"/>
        </w:rPr>
        <w:t xml:space="preserve"> (UTC)</w:t>
      </w:r>
      <w:r>
        <w:rPr>
          <w:rFonts w:ascii="Times New Roman" w:hAnsi="Times New Roman" w:eastAsia="PingFang SC" w:cs="Times New Roman"/>
          <w:sz w:val="24"/>
          <w:szCs w:val="24"/>
          <w:lang w:val="en-SG"/>
        </w:rPr>
        <w:t xml:space="preserve"> </w:t>
      </w:r>
      <w:r>
        <w:rPr>
          <w:rFonts w:ascii="Times New Roman" w:hAnsi="Times New Roman" w:eastAsia="PingFang SC" w:cs="Times New Roman"/>
          <w:sz w:val="24"/>
          <w:szCs w:val="24"/>
        </w:rPr>
        <w:t>on 25 February 2022, an event that</w:t>
      </w:r>
      <w:r>
        <w:rPr>
          <w:rFonts w:ascii="Times New Roman" w:hAnsi="Times New Roman" w:cs="Times New Roman"/>
          <w:sz w:val="24"/>
          <w:szCs w:val="24"/>
        </w:rPr>
        <w:t xml:space="preserve"> ushered in a new phase in the pioneering initiative and endeavor. The four-part meeting was online attended by about 25 participants from WMO Secretariat, WMO RA II, WMO Technical Commissions, CMA, HKO and SMG.</w:t>
      </w:r>
    </w:p>
    <w:p>
      <w:pPr>
        <w:autoSpaceDE w:val="0"/>
        <w:autoSpaceDN w:val="0"/>
        <w:adjustRightInd w:val="0"/>
        <w:spacing w:line="360" w:lineRule="exact"/>
        <w:rPr>
          <w:rFonts w:ascii="Times New Roman" w:hAnsi="Times New Roman" w:eastAsia="PingFang SC" w:cs="Times New Roman"/>
          <w:sz w:val="24"/>
          <w:szCs w:val="24"/>
        </w:rPr>
      </w:pPr>
    </w:p>
    <w:p>
      <w:pPr>
        <w:autoSpaceDE w:val="0"/>
        <w:autoSpaceDN w:val="0"/>
        <w:adjustRightInd w:val="0"/>
        <w:spacing w:line="360" w:lineRule="exact"/>
        <w:rPr>
          <w:rFonts w:ascii="Times New Roman" w:hAnsi="Times New Roman" w:eastAsia="PingFang SC" w:cs="Times New Roman"/>
          <w:b/>
          <w:sz w:val="24"/>
          <w:szCs w:val="24"/>
        </w:rPr>
      </w:pPr>
      <w:r>
        <w:rPr>
          <w:rFonts w:ascii="Times New Roman" w:hAnsi="Times New Roman" w:eastAsia="PingFang SC" w:cs="Times New Roman"/>
          <w:b/>
          <w:sz w:val="24"/>
          <w:szCs w:val="24"/>
        </w:rPr>
        <w:t>Part 1 - the Opening Session</w:t>
      </w:r>
    </w:p>
    <w:p>
      <w:pPr>
        <w:spacing w:line="320" w:lineRule="exact"/>
        <w:rPr>
          <w:rFonts w:ascii="Times New Roman" w:hAnsi="Times New Roman" w:eastAsia="PingFang SC" w:cs="Times New Roman"/>
          <w:sz w:val="24"/>
          <w:szCs w:val="24"/>
        </w:rPr>
      </w:pPr>
      <w:r>
        <w:rPr>
          <w:rFonts w:ascii="Times New Roman" w:hAnsi="Times New Roman" w:eastAsia="PingFang SC" w:cs="Times New Roman"/>
          <w:sz w:val="24"/>
          <w:szCs w:val="24"/>
        </w:rPr>
        <w:t xml:space="preserve">This part was moderated by </w:t>
      </w:r>
      <w:r>
        <w:rPr>
          <w:rFonts w:ascii="Times New Roman" w:hAnsi="Times New Roman" w:eastAsia="PingFang SC" w:cs="Times New Roman"/>
          <w:b/>
          <w:bCs/>
          <w:sz w:val="24"/>
          <w:szCs w:val="24"/>
        </w:rPr>
        <w:t>Mr. Xia MAO</w:t>
      </w:r>
      <w:r>
        <w:rPr>
          <w:rFonts w:ascii="Times New Roman" w:hAnsi="Times New Roman" w:eastAsia="PingFang SC" w:cs="Times New Roman"/>
          <w:sz w:val="24"/>
          <w:szCs w:val="24"/>
        </w:rPr>
        <w:t xml:space="preserve">, Deputy Director-General, Shenzhen Meteorological Service (SMS) CMA, who opened the meeting at 16:00 Beijing time. With a few welcoming and explanatory remarks, Xia invited </w:t>
      </w:r>
      <w:r>
        <w:rPr>
          <w:rFonts w:ascii="Times New Roman" w:hAnsi="Times New Roman" w:eastAsia="PingFang SC" w:cs="Times New Roman"/>
          <w:b/>
          <w:bCs/>
          <w:sz w:val="24"/>
          <w:szCs w:val="24"/>
        </w:rPr>
        <w:t>Dr. Wenjian ZHANG</w:t>
      </w:r>
      <w:r>
        <w:rPr>
          <w:rFonts w:ascii="Times New Roman" w:hAnsi="Times New Roman" w:eastAsia="PingFang SC" w:cs="Times New Roman"/>
          <w:sz w:val="24"/>
          <w:szCs w:val="24"/>
        </w:rPr>
        <w:t xml:space="preserve">, Assistant Secretary-General (ASG) of WMO, to address the meeting. In his speech, Wenjian highlighted three critical aspects: “(1) </w:t>
      </w:r>
      <w:r>
        <w:rPr>
          <w:rFonts w:ascii="Times New Roman" w:hAnsi="Times New Roman" w:cs="Times New Roman"/>
          <w:sz w:val="24"/>
          <w:szCs w:val="24"/>
        </w:rPr>
        <w:t xml:space="preserve">The </w:t>
      </w:r>
      <w:r>
        <w:rPr>
          <w:rFonts w:hint="eastAsia" w:ascii="Times New Roman" w:hAnsi="Times New Roman" w:cs="Times New Roman"/>
          <w:sz w:val="24"/>
          <w:szCs w:val="24"/>
        </w:rPr>
        <w:t>WMO</w:t>
      </w:r>
      <w:r>
        <w:rPr>
          <w:rFonts w:ascii="Times New Roman" w:hAnsi="Times New Roman" w:cs="Times New Roman"/>
          <w:sz w:val="24"/>
          <w:szCs w:val="24"/>
        </w:rPr>
        <w:t xml:space="preserve"> community needs this pilot project to focus on the megacity services since megacities, which are populous, super-sophisticated and mostly coastal and vulnerable, need special services of a full coverage, and to ensure we can provide the best services with a specially designed mechanism in place for WMO to demonstrate its dedicated services for megacities. (2) This is also to demonstrate WMO public-private engagement, which has made wonderful progress since 2019 PPE Declaration, in particular the PPEO-sponsored communication and information meeting weeks ago, sending a strong signal that PPE will be found across all WMO regions with different focuses, with the megacity deemed as one of test-beds for PPE to see how we can further engage critical partners for the success of WMO public and private engagement. In this connection, Shenzhen, a megacity with a lot of private companies, a high level of commercial services and a lot of advanced technologies, is just fit for purpose, as a role model from which we can benefit. (3) The success of this pilot project needs great teamwork by partners and full support from WMO PPEO, other departments and RAP. I must recognize and appreciate the project leaders -- CMA, HKO and SMG in this case, who share common urban service concerns with different focus areas. I appreciate the working teams for the excellent comprehensive 20-page work-plan and do strongly request that all the parties and all the secretariat teams make best efforts to support this pilot project and showcase the project outcome as a brilliant collective regional success story. In the first year for WMO regional reform, this pilot project will also add great value to the success of its regional reform initiative</w:t>
      </w:r>
      <w:r>
        <w:rPr>
          <w:rFonts w:ascii="Times New Roman" w:hAnsi="Times New Roman" w:eastAsia="Verdana" w:cs="Times New Roman"/>
          <w:bCs/>
          <w:kern w:val="0"/>
          <w:sz w:val="24"/>
          <w:szCs w:val="24"/>
        </w:rPr>
        <w:t>.</w:t>
      </w:r>
      <w:r>
        <w:rPr>
          <w:rFonts w:ascii="Times New Roman" w:hAnsi="Times New Roman" w:cs="Times New Roman"/>
          <w:sz w:val="24"/>
          <w:szCs w:val="24"/>
        </w:rPr>
        <w:t xml:space="preserve">” </w:t>
      </w:r>
      <w:r>
        <w:rPr>
          <w:rFonts w:ascii="Times New Roman" w:hAnsi="Times New Roman" w:eastAsia="PingFang SC" w:cs="Times New Roman"/>
          <w:sz w:val="24"/>
          <w:szCs w:val="24"/>
        </w:rPr>
        <w:t xml:space="preserve">The meeting was then addressed by </w:t>
      </w:r>
      <w:r>
        <w:rPr>
          <w:rFonts w:ascii="Times New Roman" w:hAnsi="Times New Roman" w:eastAsia="PingFang SC" w:cs="Times New Roman"/>
          <w:b/>
          <w:bCs/>
          <w:sz w:val="24"/>
          <w:szCs w:val="24"/>
        </w:rPr>
        <w:t>H. E. Dr. Abdulla Al Mandous</w:t>
      </w:r>
      <w:r>
        <w:rPr>
          <w:rFonts w:ascii="Times New Roman" w:hAnsi="Times New Roman" w:eastAsia="PingFang SC" w:cs="Times New Roman"/>
          <w:sz w:val="24"/>
          <w:szCs w:val="24"/>
        </w:rPr>
        <w:t xml:space="preserve">, President of RA II. Abdulla noted the diversity of the region vulnerable to weather and climate hazards. In the context of changing climate, multi-sector cooperation is essential. Data and technology sharing helps meet targets and goals envisaged in international instruments, including the new RA II Operating Plan. Finally he assured the meeting RA II’s continued support to the initiative. Next </w:t>
      </w:r>
      <w:r>
        <w:rPr>
          <w:rFonts w:ascii="Times New Roman" w:hAnsi="Times New Roman" w:eastAsia="PingFang SC" w:cs="Times New Roman"/>
          <w:b/>
          <w:bCs/>
          <w:sz w:val="24"/>
          <w:szCs w:val="24"/>
        </w:rPr>
        <w:t>Mr. Xianghua XU</w:t>
      </w:r>
      <w:r>
        <w:rPr>
          <w:rFonts w:ascii="Times New Roman" w:hAnsi="Times New Roman" w:eastAsia="PingFang SC" w:cs="Times New Roman"/>
          <w:sz w:val="24"/>
          <w:szCs w:val="24"/>
        </w:rPr>
        <w:t xml:space="preserve">, Deputy Director-General, International Cooperation Department, CMA, took the floor to emphasize the usefulness of attempting to implement the pilot project in this area by aiming to introduce the PPE model to innovate the development of integrated urban meteorological services for megacities. He informed the meeting the elements of a statement made by Mr. Zhuang Guotai, Administrator of CMA, at the CMA-sponsored Conference on Quality Megacity Meteorological Services held the day before. The fourth speaker was </w:t>
      </w:r>
      <w:r>
        <w:rPr>
          <w:rFonts w:ascii="Times New Roman" w:hAnsi="Times New Roman" w:eastAsia="PingFang SC" w:cs="Times New Roman"/>
          <w:b/>
          <w:bCs/>
          <w:sz w:val="24"/>
          <w:szCs w:val="24"/>
        </w:rPr>
        <w:t>Mr. Haobo</w:t>
      </w:r>
      <w:r>
        <w:rPr>
          <w:rFonts w:hint="eastAsia" w:ascii="Times New Roman" w:hAnsi="Times New Roman" w:eastAsia="宋体" w:cs="Times New Roman"/>
          <w:b/>
          <w:bCs/>
          <w:sz w:val="24"/>
          <w:szCs w:val="24"/>
        </w:rPr>
        <w:t xml:space="preserve"> </w:t>
      </w:r>
      <w:r>
        <w:rPr>
          <w:rFonts w:ascii="Times New Roman" w:hAnsi="Times New Roman" w:eastAsia="PingFang SC" w:cs="Times New Roman"/>
          <w:b/>
          <w:bCs/>
          <w:sz w:val="24"/>
          <w:szCs w:val="24"/>
        </w:rPr>
        <w:t>Tan</w:t>
      </w:r>
      <w:r>
        <w:rPr>
          <w:rFonts w:ascii="Times New Roman" w:hAnsi="Times New Roman" w:eastAsia="PingFang SC" w:cs="Times New Roman"/>
          <w:sz w:val="24"/>
          <w:szCs w:val="24"/>
        </w:rPr>
        <w:t xml:space="preserve">, Deputy Director-General of Guangdong Meteorological Service (GMS). As a member of the project coordination group from GMS, Haobo committed his earnest performance of his duties to support the operational, personnel and technical coordination of the project. The fifth speaker was </w:t>
      </w:r>
      <w:r>
        <w:rPr>
          <w:rFonts w:ascii="Times New Roman" w:hAnsi="Times New Roman" w:eastAsia="PingFang SC" w:cs="Times New Roman"/>
          <w:b/>
          <w:bCs/>
          <w:sz w:val="24"/>
          <w:szCs w:val="24"/>
        </w:rPr>
        <w:t>Mr. Pak Wai CHAN</w:t>
      </w:r>
      <w:r>
        <w:rPr>
          <w:rFonts w:ascii="Times New Roman" w:hAnsi="Times New Roman" w:eastAsia="PingFang SC" w:cs="Times New Roman"/>
          <w:sz w:val="24"/>
          <w:szCs w:val="24"/>
        </w:rPr>
        <w:t xml:space="preserve">, Assistant Director, Hong Kong Observatory (HKO). According to him, HKO is privileged to be part of the project to showcase what it has been doing in this connection, in particular the storm surge forecasting, highly valuing the PPE-based approach. The last speaker for this segment was </w:t>
      </w:r>
      <w:r>
        <w:rPr>
          <w:rFonts w:ascii="Times New Roman" w:hAnsi="Times New Roman" w:eastAsia="PingFang SC" w:cs="Times New Roman"/>
          <w:b/>
          <w:bCs/>
          <w:sz w:val="24"/>
          <w:szCs w:val="24"/>
        </w:rPr>
        <w:t>Mr. Iu Man TANG</w:t>
      </w:r>
      <w:r>
        <w:rPr>
          <w:rFonts w:ascii="Times New Roman" w:hAnsi="Times New Roman" w:eastAsia="PingFang SC" w:cs="Times New Roman"/>
          <w:sz w:val="24"/>
          <w:szCs w:val="24"/>
        </w:rPr>
        <w:t xml:space="preserve">, Vice Director, Macao Meteorological and Geophysical Bureau (SMG). Iu Man recognized the project as a contributor to the urgent weather and climate action for resilience to extremes, a process that calls for engagement with the public, private, academia, user community and civil society. Coastal cities are being visited by increasingly frequent and intensive events like an astronomical tide coinciding with a storm surge, with Macao being a case in point. So this project focusing on effective monitoring and warning means a lot to his city. He went on to highlight two solutions: Be automatic from monitoring to forecasting; and be accessible in message marking and labeling. </w:t>
      </w:r>
    </w:p>
    <w:p>
      <w:pPr>
        <w:spacing w:line="320" w:lineRule="exact"/>
        <w:rPr>
          <w:rFonts w:ascii="Times New Roman" w:hAnsi="Times New Roman" w:eastAsia="PingFang SC" w:cs="Times New Roman"/>
          <w:sz w:val="24"/>
          <w:szCs w:val="24"/>
        </w:rPr>
      </w:pPr>
    </w:p>
    <w:p>
      <w:pPr>
        <w:spacing w:line="320" w:lineRule="exact"/>
        <w:rPr>
          <w:rFonts w:ascii="Times New Roman" w:hAnsi="Times New Roman" w:eastAsia="PingFang SC" w:cs="Times New Roman"/>
          <w:sz w:val="24"/>
          <w:szCs w:val="24"/>
        </w:rPr>
      </w:pPr>
      <w:r>
        <w:rPr>
          <w:rFonts w:ascii="Times New Roman" w:hAnsi="Times New Roman" w:eastAsia="PingFang SC" w:cs="Times New Roman"/>
          <w:b/>
          <w:sz w:val="24"/>
          <w:szCs w:val="24"/>
        </w:rPr>
        <w:t>Part 2</w:t>
      </w:r>
      <w:r>
        <w:rPr>
          <w:rFonts w:ascii="Times New Roman" w:hAnsi="Times New Roman" w:eastAsia="PingFang SC" w:cs="Times New Roman"/>
          <w:sz w:val="24"/>
          <w:szCs w:val="24"/>
        </w:rPr>
        <w:t xml:space="preserve"> was totally devoted to a presentation of project governance structure, action plan and timeline by </w:t>
      </w:r>
      <w:r>
        <w:rPr>
          <w:rFonts w:ascii="Times New Roman" w:hAnsi="Times New Roman" w:eastAsia="PingFang SC" w:cs="Times New Roman"/>
          <w:b/>
          <w:bCs/>
          <w:sz w:val="24"/>
          <w:szCs w:val="24"/>
        </w:rPr>
        <w:t>Mr. Ben Churchill</w:t>
      </w:r>
      <w:r>
        <w:rPr>
          <w:rFonts w:ascii="Times New Roman" w:hAnsi="Times New Roman" w:eastAsia="PingFang SC" w:cs="Times New Roman"/>
          <w:sz w:val="24"/>
          <w:szCs w:val="24"/>
        </w:rPr>
        <w:t xml:space="preserve">, Head, RAP/WMO. Ben began his presentation with a strong congratulation to CMA, HKO and SMG for the strong PPE-based proposal -- a smart solution and an indicative approach to a more resilient and prosperous megacity -- as an exemplary role model to other regions. He ran through the background by singling out the Declaration and Guidelines, the three co-hosts and the purpose, and recalling the actions at RA II that went through motions, as a result of which a three-tier governance structure was set up for coordinating and implementing the pilot project: SAC, PCG and PWG. He further briefed on the terms of reference and membership of the three bodies respectively, noting that for PWG, invitations to partners and PPE representatives (enterprises, academia institutions, social organizations and communities) will remain open and membership will be supplemented according to actual conditions during project implementation. Thirdly, he focused on the implementation activities and timeline, noting that 2.1 is to keep the project open for multi-stakeholders, and encourage the participation of local high-tech enterprises and academic institutions during the entire project period to be overseen by PWG, while 2.2 is to invite the interested RA II Members to be proactive and supportive to sharing and communicating the outcome of the pilot project across RA II and far beyond – throughout the whole WMO community – an effort that is defined as one of the key ToRs of PCG also during the entire period. Ben reported five scheduled milestones to be met in the coming two years in addition to the release of newsletters and the downloadable working packages put under communication and outreach. In the end, he pledged his office’s close involvement and full support throughout the cycle. </w:t>
      </w:r>
    </w:p>
    <w:p>
      <w:pPr>
        <w:spacing w:line="320" w:lineRule="exact"/>
        <w:rPr>
          <w:rFonts w:ascii="Times New Roman" w:hAnsi="Times New Roman" w:eastAsia="PingFang SC" w:cs="Times New Roman"/>
          <w:sz w:val="24"/>
          <w:szCs w:val="24"/>
        </w:rPr>
      </w:pPr>
    </w:p>
    <w:p>
      <w:pPr>
        <w:adjustRightInd w:val="0"/>
        <w:spacing w:line="360" w:lineRule="exact"/>
        <w:rPr>
          <w:rFonts w:ascii="Times New Roman" w:hAnsi="Times New Roman" w:cs="Times New Roman"/>
          <w:sz w:val="24"/>
          <w:szCs w:val="24"/>
        </w:rPr>
      </w:pPr>
      <w:r>
        <w:rPr>
          <w:rFonts w:ascii="Times New Roman" w:hAnsi="Times New Roman" w:eastAsia="PingFang SC" w:cs="Times New Roman"/>
          <w:b/>
          <w:sz w:val="24"/>
          <w:szCs w:val="24"/>
        </w:rPr>
        <w:t>Part 3</w:t>
      </w:r>
      <w:r>
        <w:rPr>
          <w:rFonts w:ascii="Times New Roman" w:hAnsi="Times New Roman" w:eastAsia="PingFang SC" w:cs="Times New Roman"/>
          <w:sz w:val="24"/>
          <w:szCs w:val="24"/>
        </w:rPr>
        <w:t xml:space="preserve">, which was moderated by </w:t>
      </w:r>
      <w:r>
        <w:rPr>
          <w:rFonts w:ascii="Times New Roman" w:hAnsi="Times New Roman" w:eastAsia="PingFang SC" w:cs="Times New Roman"/>
          <w:b/>
          <w:bCs/>
          <w:sz w:val="24"/>
          <w:szCs w:val="24"/>
        </w:rPr>
        <w:t>Mr. Pak Wai CHAN</w:t>
      </w:r>
      <w:r>
        <w:rPr>
          <w:rFonts w:ascii="Times New Roman" w:hAnsi="Times New Roman" w:eastAsia="PingFang SC" w:cs="Times New Roman"/>
          <w:sz w:val="24"/>
          <w:szCs w:val="24"/>
        </w:rPr>
        <w:t xml:space="preserve">, was for technical reports and discussions. It was begun by </w:t>
      </w:r>
      <w:r>
        <w:rPr>
          <w:rFonts w:ascii="Times New Roman" w:hAnsi="Times New Roman" w:cs="Times New Roman"/>
          <w:b/>
          <w:bCs/>
          <w:sz w:val="24"/>
          <w:szCs w:val="24"/>
        </w:rPr>
        <w:t>Dr. Xiaolin WEI</w:t>
      </w:r>
      <w:r>
        <w:rPr>
          <w:rFonts w:ascii="Times New Roman" w:hAnsi="Times New Roman" w:cs="Times New Roman"/>
          <w:sz w:val="24"/>
          <w:szCs w:val="24"/>
        </w:rPr>
        <w:t>, Senior Engineer, Weather Warning and Forecasting Division, SMS/CMA, who gave an overall introduction to the project. Xiaolin illustrated the changing climate and its related risks to the achievement of SDGs. In a warmer, urbanizing and increasingly populated world, cities especially coastal ones will be exposed to many global risks, Asia in particular.</w:t>
      </w:r>
      <w:r>
        <w:rPr>
          <w:rFonts w:ascii="Times New Roman" w:hAnsi="Times New Roman" w:eastAsia="PingFang SC" w:cs="Times New Roman"/>
          <w:sz w:val="24"/>
          <w:szCs w:val="24"/>
        </w:rPr>
        <w:t xml:space="preserve"> </w:t>
      </w:r>
      <w:r>
        <w:rPr>
          <w:rFonts w:ascii="Times New Roman" w:hAnsi="Times New Roman" w:cs="Times New Roman"/>
          <w:sz w:val="24"/>
          <w:szCs w:val="24"/>
        </w:rPr>
        <w:t>Against this backdrop, a number of instruments have come into being: WMO Strategic Plan 2020-2023 (WMO-No. 1225), Resolution 80 (Cg-18) – Geneva Declaration 2019, Resolution 11 (EC-72), Resolution 32 (Cg-18), Decision 2 (EC-71) and RA II priorities for 2020-2023. The project has identified seven objectives with time-bound deliverables: 1) Data sharing, 2) Risk war</w:t>
      </w:r>
      <w:r>
        <w:rPr>
          <w:rFonts w:hint="eastAsia" w:ascii="Times New Roman" w:hAnsi="Times New Roman" w:cs="Times New Roman"/>
          <w:sz w:val="24"/>
          <w:szCs w:val="24"/>
        </w:rPr>
        <w:t>n</w:t>
      </w:r>
      <w:r>
        <w:rPr>
          <w:rFonts w:ascii="Times New Roman" w:hAnsi="Times New Roman" w:cs="Times New Roman"/>
          <w:sz w:val="24"/>
          <w:szCs w:val="24"/>
        </w:rPr>
        <w:t xml:space="preserve">ing, 3) Information sharing, 4) Urban climate, 5) Storm surge service, 6) Flooding service and 7) PPE model, which are overseen by CMA (for 1-4), HKO (for 5) and SMG (for 6) separately and collectively (for 7). She ended by mentioning how the project will be executed and where its outputs will go. In his presentation, </w:t>
      </w:r>
      <w:r>
        <w:rPr>
          <w:rFonts w:ascii="Times New Roman" w:hAnsi="Times New Roman" w:cs="Times New Roman"/>
          <w:b/>
          <w:bCs/>
          <w:sz w:val="24"/>
          <w:szCs w:val="24"/>
        </w:rPr>
        <w:t>Mr. Minghua LI</w:t>
      </w:r>
      <w:r>
        <w:rPr>
          <w:rFonts w:ascii="Times New Roman" w:hAnsi="Times New Roman" w:cs="Times New Roman"/>
          <w:sz w:val="24"/>
          <w:szCs w:val="24"/>
        </w:rPr>
        <w:t xml:space="preserve">, Vice Head, Weather Warning and Forecasting Division, SMS/CMA, focused on Objectives 1-4. Minghua began with a brief description of the unique local natural and social conditions. Under Objective 1 -- To improve regional gridded meteorological product sharing, the concept of ‘everyone for me and me for everyone’ is envisaged. Objective 2 -- To develop impact- and risk-based disaster risk warning services is designed to ensure a safe development and a secure operation of cities. Objective 3 –- To develop a targeted information distribution system -- is aimed to improve the timeliness, coverage and accuracy of meteorological disaster warning information released. And Objective 4 -– To collaborate with partners to develop urban climate impact assessment –- is designed to support urban sustainability and improve urban resilience. Having elaborated on them with action plans, cases, approaches, measures and assessments, Minghua further illustrated the relationship between and among the four objectives with a self-evident chart/diagram, in which the weather and climate services are pointing to the goal of becoming a spongy city. He concluded that all the above objectives will be operated, delivered and met through a close cooperation with stakeholders under the PPE policy framework, noting finally that a third-party agency will be hired to conduct the benefit evaluation of the project. Objective 5, which was presented by </w:t>
      </w:r>
      <w:r>
        <w:rPr>
          <w:rFonts w:ascii="Times New Roman" w:hAnsi="Times New Roman" w:cs="Times New Roman"/>
          <w:b/>
          <w:bCs/>
          <w:sz w:val="24"/>
          <w:szCs w:val="24"/>
        </w:rPr>
        <w:t>Mr. Wai KONG</w:t>
      </w:r>
      <w:r>
        <w:rPr>
          <w:rFonts w:ascii="Times New Roman" w:hAnsi="Times New Roman" w:cs="Times New Roman"/>
          <w:sz w:val="24"/>
          <w:szCs w:val="24"/>
        </w:rPr>
        <w:t xml:space="preserve">, HKO, is to develop a risk-based storm surge forecast service for vulnerable coastal areas. Having covered the background (including three drivers, one target and two benefits), methodology (including two steps), highlighting the probabilistic storm surge prediction system featuring impacts, risk matrix as illustrated with a case study, he updated the latest progress with the system in trial, envisaging its scheduled future developments. Objective 6, which was presented by </w:t>
      </w:r>
      <w:r>
        <w:rPr>
          <w:rFonts w:ascii="Times New Roman" w:hAnsi="Times New Roman" w:cs="Times New Roman"/>
          <w:b/>
          <w:bCs/>
          <w:sz w:val="24"/>
          <w:szCs w:val="24"/>
        </w:rPr>
        <w:t>Mr. Man Chi WONG</w:t>
      </w:r>
      <w:r>
        <w:rPr>
          <w:rFonts w:ascii="Times New Roman" w:hAnsi="Times New Roman" w:cs="Times New Roman"/>
          <w:sz w:val="24"/>
          <w:szCs w:val="24"/>
        </w:rPr>
        <w:t xml:space="preserve">, Technician, SMG, is to optimize the flooding alert service to improve the effectiveness of disaster prevention and mitigation. Having given a snapshot of disasters prone in Macao like astronomical tide, storm surge and heavy rain contributing to an urban flood, Man Chi dwelled on two goals identified under the objective: Automate flooding alert and make the public smart. According to him, the three enablers of automatic flooding alert, marking stickers, and forecast and warnings put together would eventually result in a smart flooding alert service. The public education is featured with visits and dramas. Top among the industry clients is the power utility. He ended by outlining three expected but time-bound key deliverables. Objective 7, which was presented by </w:t>
      </w:r>
      <w:r>
        <w:rPr>
          <w:rFonts w:ascii="Times New Roman" w:hAnsi="Times New Roman" w:cs="Times New Roman"/>
          <w:b/>
          <w:bCs/>
          <w:sz w:val="24"/>
          <w:szCs w:val="24"/>
        </w:rPr>
        <w:t>Ms. Shuting ZHANG</w:t>
      </w:r>
      <w:r>
        <w:rPr>
          <w:rFonts w:ascii="Times New Roman" w:hAnsi="Times New Roman" w:cs="Times New Roman"/>
          <w:sz w:val="24"/>
          <w:szCs w:val="24"/>
        </w:rPr>
        <w:t>, Senior Engineer, Weather Warning and Forecasting Division, SMS/CMA, is to summarize the PPE model of smart meteorological service community in mega-cities. Having characterized PPE with transparent processes, open communication and strong trust relationships, and elaborated on the aims of this objective from three perspectives, Shuting noted that all the lessons learnt from the other 6 objectives will be brought together under this objective – the PPE model as good practices to be showcased, replicated and scaled up. Another key word featuring this objective is IUS – Integrated Urban Services, which cuts across other objectives. She further gave the timeline or roadmap for three expected deliverables: Increased collection and sharing of data and products; innovative weather information and services; and standards and practices on data and service quality.</w:t>
      </w:r>
    </w:p>
    <w:p>
      <w:pPr>
        <w:spacing w:line="320" w:lineRule="exact"/>
        <w:rPr>
          <w:rFonts w:ascii="Times New Roman" w:hAnsi="Times New Roman" w:eastAsia="PingFang SC" w:cs="Times New Roman"/>
          <w:sz w:val="24"/>
          <w:szCs w:val="24"/>
        </w:rPr>
      </w:pPr>
    </w:p>
    <w:p>
      <w:pPr>
        <w:spacing w:line="320" w:lineRule="exact"/>
        <w:rPr>
          <w:rFonts w:ascii="Times New Roman" w:hAnsi="Times New Roman" w:cs="Times New Roman"/>
          <w:sz w:val="24"/>
          <w:szCs w:val="24"/>
        </w:rPr>
      </w:pPr>
      <w:r>
        <w:rPr>
          <w:rFonts w:ascii="Times New Roman" w:hAnsi="Times New Roman" w:cs="Times New Roman"/>
          <w:sz w:val="24"/>
          <w:szCs w:val="24"/>
        </w:rPr>
        <w:t xml:space="preserve">The ensuing panel discussion was started by </w:t>
      </w:r>
      <w:r>
        <w:rPr>
          <w:rFonts w:ascii="Times New Roman" w:hAnsi="Times New Roman" w:cs="Times New Roman"/>
          <w:b/>
          <w:bCs/>
          <w:sz w:val="24"/>
          <w:szCs w:val="24"/>
        </w:rPr>
        <w:t>Mr. Alexander Baklanov</w:t>
      </w:r>
      <w:r>
        <w:rPr>
          <w:rFonts w:ascii="Times New Roman" w:hAnsi="Times New Roman" w:cs="Times New Roman"/>
          <w:sz w:val="24"/>
          <w:szCs w:val="24"/>
        </w:rPr>
        <w:t xml:space="preserve">, Expert, Atmospheric Environment Research Division, WMO Science and Innovation Department, who was impressed by this pilot project of great interest and close relevance to WMO IUS. According to Alexander, there exist experiences in this connection at WMO level that are advised to be referred to in this project. Furthermore, he also appreciated the openness to the private and academia/university, and to the multi-stakeholders, an important step that is differentiated from the previous efforts. It is necessary to start the stakeholder engagement by analyzing the needs of users since priorities differ from city to city, as evidenced in the nice Macao case. He suggested to place a stronger emphasis on a multi-scaled and integrated system. It is very important to mainstream atmospheric composition or air pollution, which was little touched so far, into the IUS process. Hydrology should be also taken into consideration especially for coastal cities. Synergy is needed especially for observation. He was pleased to sit in the team, getting ready to share UN-based experience. </w:t>
      </w:r>
      <w:r>
        <w:rPr>
          <w:rFonts w:ascii="Times New Roman" w:hAnsi="Times New Roman" w:cs="Times New Roman"/>
          <w:b/>
          <w:bCs/>
          <w:sz w:val="24"/>
          <w:szCs w:val="24"/>
        </w:rPr>
        <w:t>Dr. Tatsuya Kimura</w:t>
      </w:r>
      <w:r>
        <w:rPr>
          <w:rFonts w:ascii="Times New Roman" w:hAnsi="Times New Roman" w:cs="Times New Roman"/>
          <w:sz w:val="24"/>
          <w:szCs w:val="24"/>
        </w:rPr>
        <w:t xml:space="preserve">, Director PPE Office WMO Secretariat, strongly congratulated the commencement of the first pilot project on PPE in the world and the leadership of CMA, HKO and SMG, and President of RA II on this matter. Megacities, which need a variety of services, involve a lot of engagement with the private and academic sectors. He appreciated the well prepared presentations. WMO Members especially developing ones are awaiting the outcome from the project concerning engagement, demarcation, win-win collaboration, the maintenance of an authoritative voice and the role of, contribution by and benefits to the private sector as envisaged in the international instruments. Expectations are large. Regular reporting and briefing are advised to allow other WMO Members to learn not only at the end of the cycle but also during the ongoing process. </w:t>
      </w:r>
      <w:r>
        <w:rPr>
          <w:rFonts w:ascii="Times New Roman" w:hAnsi="Times New Roman" w:cs="Times New Roman"/>
          <w:b/>
          <w:bCs/>
          <w:sz w:val="24"/>
          <w:szCs w:val="24"/>
        </w:rPr>
        <w:t>Dr. Chao REN</w:t>
      </w:r>
      <w:r>
        <w:rPr>
          <w:rFonts w:ascii="Times New Roman" w:hAnsi="Times New Roman" w:cs="Times New Roman"/>
          <w:sz w:val="24"/>
          <w:szCs w:val="24"/>
        </w:rPr>
        <w:t xml:space="preserve">, Associate Professor, the University of Hong Kong, appreciated the opportunity to be part of the event. Chao thought highly of the long-term and close partnership with local education providers, a practice that must contribute to the IUS program in terms of research capacity development. </w:t>
      </w:r>
      <w:r>
        <w:rPr>
          <w:rFonts w:ascii="Times New Roman" w:hAnsi="Times New Roman" w:cs="Times New Roman"/>
          <w:b/>
          <w:bCs/>
          <w:sz w:val="24"/>
          <w:szCs w:val="24"/>
        </w:rPr>
        <w:t>Dr. Kamaljit Ray</w:t>
      </w:r>
      <w:r>
        <w:rPr>
          <w:rFonts w:ascii="Times New Roman" w:hAnsi="Times New Roman" w:cs="Times New Roman"/>
          <w:sz w:val="24"/>
          <w:szCs w:val="24"/>
        </w:rPr>
        <w:t xml:space="preserve"> (Indian Meteorological Department), Vice Chair of RA II WG Services, who was impressed with the brilliant detailed presentations on the well planned project and on the clean demarcation of the work of the three bodies. She was sure the project would inspire and help other RA II Members to follow the guidelines. According to Indian experience with a storm surge related flashflood project hosted in coastal Mumbai and Chinnai, it is most important to keep the local government involved through outreach, which is critical to the success.</w:t>
      </w:r>
    </w:p>
    <w:p>
      <w:pPr>
        <w:spacing w:line="320" w:lineRule="exact"/>
        <w:rPr>
          <w:rFonts w:ascii="Times New Roman" w:hAnsi="Times New Roman" w:cs="Times New Roman"/>
          <w:sz w:val="24"/>
          <w:szCs w:val="24"/>
        </w:rPr>
      </w:pPr>
    </w:p>
    <w:p>
      <w:pPr>
        <w:spacing w:line="320" w:lineRule="exact"/>
        <w:rPr>
          <w:rFonts w:ascii="Times New Roman" w:hAnsi="Times New Roman" w:cs="Times New Roman"/>
          <w:sz w:val="24"/>
          <w:szCs w:val="24"/>
        </w:rPr>
      </w:pPr>
      <w:r>
        <w:rPr>
          <w:rFonts w:ascii="Times New Roman" w:hAnsi="Times New Roman" w:cs="Times New Roman"/>
          <w:b/>
          <w:sz w:val="24"/>
          <w:szCs w:val="24"/>
        </w:rPr>
        <w:t>Part 4</w:t>
      </w:r>
      <w:r>
        <w:rPr>
          <w:rFonts w:ascii="Times New Roman" w:hAnsi="Times New Roman" w:cs="Times New Roman"/>
          <w:sz w:val="24"/>
          <w:szCs w:val="24"/>
        </w:rPr>
        <w:t xml:space="preserve">, which was moderated by </w:t>
      </w:r>
      <w:r>
        <w:rPr>
          <w:rFonts w:ascii="Times New Roman" w:hAnsi="Times New Roman" w:cs="Times New Roman"/>
          <w:b/>
          <w:bCs/>
          <w:sz w:val="24"/>
          <w:szCs w:val="24"/>
        </w:rPr>
        <w:t>Ms. Feng LIANG</w:t>
      </w:r>
      <w:r>
        <w:rPr>
          <w:rFonts w:ascii="Times New Roman" w:hAnsi="Times New Roman" w:cs="Times New Roman"/>
          <w:sz w:val="24"/>
          <w:szCs w:val="24"/>
        </w:rPr>
        <w:t xml:space="preserve">, Co-Chair, Study Group on Integrated Urban Services/SERCOM, was for summary and closure. </w:t>
      </w:r>
      <w:r>
        <w:rPr>
          <w:rFonts w:ascii="Times New Roman" w:hAnsi="Times New Roman" w:cs="Times New Roman"/>
          <w:b/>
          <w:bCs/>
          <w:sz w:val="24"/>
          <w:szCs w:val="24"/>
        </w:rPr>
        <w:t>Tatsuya</w:t>
      </w:r>
      <w:r>
        <w:rPr>
          <w:rFonts w:ascii="Times New Roman" w:hAnsi="Times New Roman" w:cs="Times New Roman"/>
          <w:sz w:val="24"/>
          <w:szCs w:val="24"/>
        </w:rPr>
        <w:t xml:space="preserve">, who took the floor first, strongly congratulated the commencement and the collective leadership again, restating the high expectation from WMO Members. He committed his PPEO’s support to the project. In his turn, </w:t>
      </w:r>
      <w:r>
        <w:rPr>
          <w:rFonts w:ascii="Times New Roman" w:hAnsi="Times New Roman" w:cs="Times New Roman"/>
          <w:b/>
          <w:bCs/>
          <w:sz w:val="24"/>
          <w:szCs w:val="24"/>
        </w:rPr>
        <w:t>Ben</w:t>
      </w:r>
      <w:r>
        <w:rPr>
          <w:rFonts w:ascii="Times New Roman" w:hAnsi="Times New Roman" w:cs="Times New Roman"/>
          <w:sz w:val="24"/>
          <w:szCs w:val="24"/>
        </w:rPr>
        <w:t xml:space="preserve"> also congratulated everybody involved so far in the project, the impacts and benefits of which would be felt and shared far and wide. He appreciated the commitment of the participating members, committed his readiness to do his bit and part in the course and found it fitting to kick off the project in the year of the tiger. In the capacity of host, </w:t>
      </w:r>
      <w:r>
        <w:rPr>
          <w:rFonts w:ascii="Times New Roman" w:hAnsi="Times New Roman" w:cs="Times New Roman"/>
          <w:b/>
          <w:bCs/>
          <w:sz w:val="24"/>
          <w:szCs w:val="24"/>
        </w:rPr>
        <w:t>Xia</w:t>
      </w:r>
      <w:r>
        <w:rPr>
          <w:rFonts w:ascii="Times New Roman" w:hAnsi="Times New Roman" w:cs="Times New Roman"/>
          <w:sz w:val="24"/>
          <w:szCs w:val="24"/>
        </w:rPr>
        <w:t xml:space="preserve"> thanked all those who have contributed guidance and assistance on different occasions, in different forms and from different fronts. He committed his team to the observance of the adopted action plan and timeline, vowing to keep the process open to the interested sectors, stakeholders (eg. the Mangrove Foundation) and Members, to devise an effective and innovative PPE-based and IUS driven partnership and to share the deliverables of good practice across RA II. Having been touched by Tatsuya, who noted ‘the first pilot project on PPE’ and ‘the high expectation of the WMO community’ twice, </w:t>
      </w:r>
      <w:r>
        <w:rPr>
          <w:rFonts w:ascii="Times New Roman" w:hAnsi="Times New Roman" w:cs="Times New Roman"/>
          <w:b/>
          <w:bCs/>
          <w:sz w:val="24"/>
          <w:szCs w:val="24"/>
        </w:rPr>
        <w:t>Pak Wai</w:t>
      </w:r>
      <w:r>
        <w:rPr>
          <w:rFonts w:ascii="Times New Roman" w:hAnsi="Times New Roman" w:cs="Times New Roman"/>
          <w:sz w:val="24"/>
          <w:szCs w:val="24"/>
        </w:rPr>
        <w:t xml:space="preserve"> hoped to fulfil the desired expectation and the needs of RA II Member by working closely with his counterparts in Shenzhen and Macao to achieve all the objectives. In his turn, </w:t>
      </w:r>
      <w:r>
        <w:rPr>
          <w:rFonts w:ascii="Times New Roman" w:hAnsi="Times New Roman" w:cs="Times New Roman"/>
          <w:b/>
          <w:bCs/>
          <w:sz w:val="24"/>
          <w:szCs w:val="24"/>
        </w:rPr>
        <w:t>Iu Man</w:t>
      </w:r>
      <w:r>
        <w:rPr>
          <w:rFonts w:ascii="Times New Roman" w:hAnsi="Times New Roman" w:cs="Times New Roman"/>
          <w:sz w:val="24"/>
          <w:szCs w:val="24"/>
        </w:rPr>
        <w:t xml:space="preserve"> forewarned once again the looming higher risks in the near future. So this project would be of sub-regional and regional implication and benefit. Likewise he committed himself to working closely with his counterparts in Shenzhen and Hong Kong to crown the project with a great success in the coming years. Having been struck by the comprehensive presentations and meaningful discussions, </w:t>
      </w:r>
      <w:r>
        <w:rPr>
          <w:rFonts w:ascii="Times New Roman" w:hAnsi="Times New Roman" w:cs="Times New Roman"/>
          <w:b/>
          <w:bCs/>
          <w:sz w:val="24"/>
          <w:szCs w:val="24"/>
        </w:rPr>
        <w:t>Wenjian</w:t>
      </w:r>
      <w:r>
        <w:rPr>
          <w:rFonts w:ascii="Times New Roman" w:hAnsi="Times New Roman" w:cs="Times New Roman"/>
          <w:sz w:val="24"/>
          <w:szCs w:val="24"/>
        </w:rPr>
        <w:t xml:space="preserve"> gave all the participants a big thank, in particular President of RA II, RAP and the organizer including the moderators. The comments would be taken into account in the implementation process. He was confident of the well-structured and well-begun project. The synergy displayed by the project leaders – CMA, HKO and SMG would be of great value to other regional projects in the future. He concluded his remarks with three ‘grand’ expectations, which went to the effect that (1) great</w:t>
      </w:r>
      <w:r>
        <w:rPr>
          <w:rFonts w:hint="eastAsia" w:ascii="Times New Roman" w:hAnsi="Times New Roman" w:cs="Times New Roman"/>
          <w:sz w:val="24"/>
          <w:szCs w:val="24"/>
        </w:rPr>
        <w:t xml:space="preserve"> attention </w:t>
      </w:r>
      <w:r>
        <w:rPr>
          <w:rFonts w:ascii="Times New Roman" w:hAnsi="Times New Roman" w:cs="Times New Roman"/>
          <w:sz w:val="24"/>
          <w:szCs w:val="24"/>
        </w:rPr>
        <w:t xml:space="preserve">should be paid </w:t>
      </w:r>
      <w:r>
        <w:rPr>
          <w:rFonts w:hint="eastAsia" w:ascii="Times New Roman" w:hAnsi="Times New Roman" w:cs="Times New Roman"/>
          <w:sz w:val="24"/>
          <w:szCs w:val="24"/>
        </w:rPr>
        <w:t>to the impact- and risk-based warning</w:t>
      </w:r>
      <w:r>
        <w:rPr>
          <w:rFonts w:ascii="Times New Roman" w:hAnsi="Times New Roman" w:cs="Times New Roman"/>
          <w:sz w:val="24"/>
          <w:szCs w:val="24"/>
        </w:rPr>
        <w:t xml:space="preserve"> services by keeping in mind the social-economic benefits to be tangibly demonstrated on the ground. An unimpeded communication with government authorities would help them understand ‘what weather and climate will do in addition to what they will be’, a new area that needs engagement with different communities and will better meet the needs of Members; (2) The effective PPE will be piloted as an enabling mechanism to differentiate the innovative and performing regional project. With PPE as a platform in place across the cycle, the effective collaboration with the private and academia should feature the challenging process; (3) Greater cooperation at regional and sub-regional level beyond China and Asia is strongly encouraged by engaging regional partners to benefit from their wisdom and contribution. So timely communication on progress with other Members is useful for broader support. Most importantly, a collective spirit among Members would be triggered and fostered for this shared goal on SMSC. This project means a PPE shift from a concept to a reality. He further added one procedural proposal in the end that a regular 6-month briefing be put in practice to ensure information, communication, support, coordination and momentum. “Well begun is half done”. With this said, </w:t>
      </w:r>
      <w:r>
        <w:rPr>
          <w:rFonts w:ascii="Times New Roman" w:hAnsi="Times New Roman" w:cs="Times New Roman"/>
          <w:b/>
          <w:bCs/>
          <w:sz w:val="24"/>
          <w:szCs w:val="24"/>
        </w:rPr>
        <w:t>Feng</w:t>
      </w:r>
      <w:r>
        <w:rPr>
          <w:rFonts w:ascii="Times New Roman" w:hAnsi="Times New Roman" w:cs="Times New Roman"/>
          <w:sz w:val="24"/>
          <w:szCs w:val="24"/>
        </w:rPr>
        <w:t xml:space="preserve"> handed over the mike to </w:t>
      </w:r>
      <w:r>
        <w:rPr>
          <w:rFonts w:ascii="Times New Roman" w:hAnsi="Times New Roman" w:cs="Times New Roman"/>
          <w:b/>
          <w:bCs/>
          <w:sz w:val="24"/>
          <w:szCs w:val="24"/>
        </w:rPr>
        <w:t>Xia</w:t>
      </w:r>
      <w:r>
        <w:rPr>
          <w:rFonts w:ascii="Times New Roman" w:hAnsi="Times New Roman" w:cs="Times New Roman"/>
          <w:sz w:val="24"/>
          <w:szCs w:val="24"/>
        </w:rPr>
        <w:t xml:space="preserve"> in Shenzhen, who closed the meeting at 18:00 Beijing Time on 25 February 2022.</w:t>
      </w:r>
    </w:p>
    <w:p>
      <w:pPr>
        <w:spacing w:line="320" w:lineRule="exact"/>
        <w:rPr>
          <w:rFonts w:ascii="Times New Roman" w:hAnsi="Times New Roman" w:cs="Times New Roman"/>
          <w:sz w:val="24"/>
          <w:szCs w:val="24"/>
        </w:rPr>
      </w:pPr>
    </w:p>
    <w:p>
      <w:pPr>
        <w:spacing w:line="320" w:lineRule="exact"/>
        <w:rPr>
          <w:rFonts w:ascii="Times New Roman" w:hAnsi="Times New Roman" w:cs="Times New Roman"/>
          <w:sz w:val="24"/>
          <w:szCs w:val="24"/>
        </w:rPr>
      </w:pPr>
      <w:r>
        <w:rPr>
          <w:rFonts w:hint="eastAsia" w:ascii="Times New Roman" w:hAnsi="Times New Roman" w:cs="Times New Roman"/>
          <w:sz w:val="24"/>
          <w:szCs w:val="24"/>
        </w:rPr>
        <w:drawing>
          <wp:anchor distT="0" distB="0" distL="114300" distR="114300" simplePos="0" relativeHeight="251660288" behindDoc="0" locked="0" layoutInCell="1" allowOverlap="1">
            <wp:simplePos x="0" y="0"/>
            <wp:positionH relativeFrom="column">
              <wp:posOffset>19050</wp:posOffset>
            </wp:positionH>
            <wp:positionV relativeFrom="paragraph">
              <wp:posOffset>101600</wp:posOffset>
            </wp:positionV>
            <wp:extent cx="5266690" cy="3040380"/>
            <wp:effectExtent l="0" t="0" r="10160" b="7620"/>
            <wp:wrapTopAndBottom/>
            <wp:docPr id="3" name="图片 3" descr="161942ed849f897ef6d60d583b167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1942ed849f897ef6d60d583b167b5"/>
                    <pic:cNvPicPr>
                      <a:picLocks noChangeAspect="1"/>
                    </pic:cNvPicPr>
                  </pic:nvPicPr>
                  <pic:blipFill>
                    <a:blip r:embed="rId5"/>
                    <a:stretch>
                      <a:fillRect/>
                    </a:stretch>
                  </pic:blipFill>
                  <pic:spPr>
                    <a:xfrm>
                      <a:off x="0" y="0"/>
                      <a:ext cx="5266690" cy="3040380"/>
                    </a:xfrm>
                    <a:prstGeom prst="rect">
                      <a:avLst/>
                    </a:prstGeom>
                  </pic:spPr>
                </pic:pic>
              </a:graphicData>
            </a:graphic>
          </wp:anchor>
        </w:drawing>
      </w:r>
    </w:p>
    <w:p>
      <w:pPr>
        <w:spacing w:line="320" w:lineRule="exact"/>
        <w:rPr>
          <w:rFonts w:ascii="Times New Roman" w:hAnsi="Times New Roman" w:cs="Times New Roman"/>
          <w:sz w:val="24"/>
          <w:szCs w:val="24"/>
        </w:rPr>
      </w:pPr>
    </w:p>
    <w:p>
      <w:pPr>
        <w:rPr>
          <w:rFonts w:ascii="Arial" w:hAnsi="Arial" w:cs="Arial"/>
          <w:b/>
          <w:bCs/>
          <w:sz w:val="24"/>
          <w:szCs w:val="24"/>
        </w:rPr>
      </w:pPr>
      <w:r>
        <w:rPr>
          <w:rFonts w:ascii="Arial" w:hAnsi="Arial" w:cs="Arial"/>
          <w:b/>
          <w:bCs/>
          <w:sz w:val="24"/>
          <w:szCs w:val="24"/>
        </w:rPr>
        <w:t>Annex: List of participants</w:t>
      </w:r>
    </w:p>
    <w:p>
      <w:pPr>
        <w:rPr>
          <w:rFonts w:ascii="Arial" w:hAnsi="Arial" w:cs="Arial"/>
          <w:b/>
          <w:bCs/>
          <w:sz w:val="24"/>
          <w:szCs w:val="24"/>
        </w:rPr>
      </w:pPr>
    </w:p>
    <w:p>
      <w:pPr>
        <w:numPr>
          <w:ilvl w:val="0"/>
          <w:numId w:val="2"/>
        </w:numPr>
        <w:snapToGrid w:val="0"/>
        <w:rPr>
          <w:rFonts w:ascii="Verdana" w:hAnsi="Verdana" w:eastAsia="宋体" w:cs="Calibri"/>
          <w:b/>
          <w:bCs/>
          <w:lang w:val="en-SG"/>
        </w:rPr>
      </w:pPr>
      <w:r>
        <w:rPr>
          <w:rFonts w:ascii="Verdana" w:hAnsi="Verdana" w:eastAsia="宋体" w:cs="Calibri"/>
          <w:b/>
          <w:bCs/>
          <w:lang w:val="en-SG"/>
        </w:rPr>
        <w:t>WMO Secretariat</w:t>
      </w:r>
    </w:p>
    <w:tbl>
      <w:tblPr>
        <w:tblStyle w:val="7"/>
        <w:tblW w:w="8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6"/>
        <w:gridCol w:w="5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6" w:type="dxa"/>
          </w:tcPr>
          <w:p>
            <w:pPr>
              <w:snapToGrid w:val="0"/>
              <w:rPr>
                <w:rFonts w:ascii="Verdana" w:hAnsi="Verdana" w:eastAsia="宋体" w:cs="Calibri"/>
                <w:lang w:val="en-SG"/>
              </w:rPr>
            </w:pPr>
            <w:r>
              <w:rPr>
                <w:rFonts w:ascii="Verdana" w:hAnsi="Verdana" w:eastAsia="宋体" w:cs="Calibri"/>
                <w:b/>
                <w:bCs/>
                <w:lang w:val="en-SG"/>
              </w:rPr>
              <w:t>Name</w:t>
            </w:r>
          </w:p>
        </w:tc>
        <w:tc>
          <w:tcPr>
            <w:tcW w:w="5700" w:type="dxa"/>
          </w:tcPr>
          <w:p>
            <w:pPr>
              <w:snapToGrid w:val="0"/>
              <w:rPr>
                <w:rFonts w:ascii="Verdana" w:hAnsi="Verdana" w:eastAsia="宋体" w:cs="Calibri"/>
                <w:b/>
                <w:bCs/>
                <w:lang w:val="en-SG"/>
              </w:rPr>
            </w:pPr>
            <w:r>
              <w:rPr>
                <w:rFonts w:ascii="Verdana" w:hAnsi="Verdana" w:eastAsia="宋体" w:cs="Calibri"/>
                <w:b/>
                <w:bCs/>
                <w:lang w:val="en-SG"/>
              </w:rPr>
              <w:t>Title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6" w:type="dxa"/>
            <w:vAlign w:val="center"/>
          </w:tcPr>
          <w:p>
            <w:pPr>
              <w:snapToGrid w:val="0"/>
              <w:rPr>
                <w:rFonts w:ascii="Verdana" w:hAnsi="Verdana" w:eastAsia="宋体" w:cs="Calibri"/>
                <w:lang w:val="en-SG"/>
              </w:rPr>
            </w:pPr>
            <w:r>
              <w:rPr>
                <w:rFonts w:ascii="Verdana" w:hAnsi="Verdana" w:eastAsia="宋体" w:cs="Calibri"/>
                <w:lang w:val="en-SG"/>
              </w:rPr>
              <w:t>Dr/Mr Wenjian ZHANG</w:t>
            </w:r>
          </w:p>
        </w:tc>
        <w:tc>
          <w:tcPr>
            <w:tcW w:w="5700" w:type="dxa"/>
          </w:tcPr>
          <w:p>
            <w:pPr>
              <w:snapToGrid w:val="0"/>
              <w:rPr>
                <w:rFonts w:ascii="Verdana" w:hAnsi="Verdana" w:eastAsia="宋体" w:cs="Calibri"/>
                <w:lang w:val="en-SG"/>
              </w:rPr>
            </w:pPr>
            <w:r>
              <w:rPr>
                <w:rFonts w:ascii="Verdana" w:hAnsi="Verdana" w:eastAsia="宋体" w:cs="Calibri"/>
                <w:lang w:val="en-SG"/>
              </w:rPr>
              <w:t>Assistant Secretary-General off WMO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6" w:type="dxa"/>
            <w:vAlign w:val="center"/>
          </w:tcPr>
          <w:p>
            <w:pPr>
              <w:snapToGrid w:val="0"/>
              <w:rPr>
                <w:rFonts w:ascii="Verdana" w:hAnsi="Verdana" w:eastAsia="宋体" w:cs="Calibri"/>
                <w:lang w:val="en-SG"/>
              </w:rPr>
            </w:pPr>
            <w:r>
              <w:rPr>
                <w:rFonts w:ascii="Verdana" w:hAnsi="Verdana" w:eastAsia="宋体" w:cs="Calibri"/>
                <w:lang w:val="en-SG"/>
              </w:rPr>
              <w:t>Mr Tatsuya Kimura</w:t>
            </w:r>
          </w:p>
        </w:tc>
        <w:tc>
          <w:tcPr>
            <w:tcW w:w="5700" w:type="dxa"/>
          </w:tcPr>
          <w:p>
            <w:pPr>
              <w:snapToGrid w:val="0"/>
              <w:rPr>
                <w:rFonts w:ascii="Verdana" w:hAnsi="Verdana" w:eastAsia="宋体" w:cs="Calibri"/>
                <w:lang w:val="en-SG"/>
              </w:rPr>
            </w:pPr>
            <w:r>
              <w:rPr>
                <w:rFonts w:ascii="Verdana" w:hAnsi="Verdana" w:eastAsia="宋体" w:cs="Calibri"/>
                <w:lang w:val="en-SG"/>
              </w:rPr>
              <w:t>Director, Public-Private Engagement Office (PPEO)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56" w:type="dxa"/>
            <w:vAlign w:val="center"/>
          </w:tcPr>
          <w:p>
            <w:pPr>
              <w:snapToGrid w:val="0"/>
              <w:rPr>
                <w:rFonts w:ascii="Verdana" w:hAnsi="Verdana" w:eastAsia="宋体" w:cs="Calibri"/>
                <w:lang w:val="en-SG"/>
              </w:rPr>
            </w:pPr>
            <w:r>
              <w:rPr>
                <w:rFonts w:ascii="Verdana" w:hAnsi="Verdana" w:eastAsia="宋体" w:cs="Calibri"/>
                <w:lang w:val="en-SG"/>
              </w:rPr>
              <w:t>Ms Mingmei LI</w:t>
            </w:r>
          </w:p>
        </w:tc>
        <w:tc>
          <w:tcPr>
            <w:tcW w:w="5700" w:type="dxa"/>
          </w:tcPr>
          <w:p>
            <w:pPr>
              <w:snapToGrid w:val="0"/>
              <w:rPr>
                <w:rFonts w:ascii="Verdana" w:hAnsi="Verdana" w:eastAsia="宋体" w:cs="Calibri"/>
                <w:lang w:val="en-SG"/>
              </w:rPr>
            </w:pPr>
            <w:r>
              <w:rPr>
                <w:rFonts w:ascii="Verdana" w:hAnsi="Verdana" w:eastAsia="宋体" w:cs="Calibri"/>
                <w:lang w:val="en-SG"/>
              </w:rPr>
              <w:t>Senior Engagement Officer, PPEO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6" w:type="dxa"/>
            <w:vAlign w:val="center"/>
          </w:tcPr>
          <w:p>
            <w:pPr>
              <w:snapToGrid w:val="0"/>
              <w:rPr>
                <w:rFonts w:ascii="Verdana" w:hAnsi="Verdana" w:eastAsia="宋体" w:cs="Calibri"/>
                <w:lang w:val="en-SG"/>
              </w:rPr>
            </w:pPr>
            <w:r>
              <w:rPr>
                <w:rFonts w:ascii="Verdana" w:hAnsi="Verdana" w:eastAsia="宋体" w:cs="Calibri"/>
                <w:lang w:val="en-SG"/>
              </w:rPr>
              <w:t>Mr Ben Churchill</w:t>
            </w:r>
          </w:p>
        </w:tc>
        <w:tc>
          <w:tcPr>
            <w:tcW w:w="5700" w:type="dxa"/>
          </w:tcPr>
          <w:p>
            <w:pPr>
              <w:snapToGrid w:val="0"/>
              <w:rPr>
                <w:rFonts w:ascii="Verdana" w:hAnsi="Verdana" w:eastAsia="宋体" w:cs="Calibri"/>
                <w:lang w:val="en-SG"/>
              </w:rPr>
            </w:pPr>
            <w:r>
              <w:rPr>
                <w:rFonts w:ascii="Verdana" w:hAnsi="Verdana" w:eastAsia="宋体" w:cs="Calibri"/>
                <w:lang w:val="en-SG"/>
              </w:rPr>
              <w:t>Head, Regional Office for Asia and the South-West Pacific (RAP)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6" w:type="dxa"/>
            <w:vAlign w:val="center"/>
          </w:tcPr>
          <w:p>
            <w:pPr>
              <w:snapToGrid w:val="0"/>
              <w:rPr>
                <w:rFonts w:ascii="Verdana" w:hAnsi="Verdana" w:eastAsia="宋体" w:cs="Calibri"/>
                <w:lang w:val="en-SG"/>
              </w:rPr>
            </w:pPr>
            <w:r>
              <w:rPr>
                <w:rFonts w:ascii="Verdana" w:hAnsi="Verdana" w:eastAsia="宋体" w:cs="Calibri"/>
                <w:lang w:val="en-SG"/>
              </w:rPr>
              <w:t>Mr Alexander Baklanov</w:t>
            </w:r>
          </w:p>
        </w:tc>
        <w:tc>
          <w:tcPr>
            <w:tcW w:w="5700" w:type="dxa"/>
          </w:tcPr>
          <w:p>
            <w:pPr>
              <w:snapToGrid w:val="0"/>
              <w:rPr>
                <w:rFonts w:ascii="Verdana" w:hAnsi="Verdana" w:eastAsia="宋体" w:cs="Calibri"/>
                <w:lang w:val="en-SG"/>
              </w:rPr>
            </w:pPr>
            <w:r>
              <w:rPr>
                <w:rFonts w:ascii="Verdana" w:hAnsi="Verdana" w:eastAsia="宋体" w:cs="Calibri"/>
                <w:lang w:val="en-SG"/>
              </w:rPr>
              <w:t>Expert, Atmospheric Environment Research Division, WMO Science and Innovation Department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6" w:type="dxa"/>
            <w:vAlign w:val="center"/>
          </w:tcPr>
          <w:p>
            <w:pPr>
              <w:snapToGrid w:val="0"/>
              <w:rPr>
                <w:rFonts w:ascii="Verdana" w:hAnsi="Verdana" w:eastAsia="宋体" w:cs="Calibri"/>
                <w:lang w:val="en-SG"/>
              </w:rPr>
            </w:pPr>
            <w:r>
              <w:rPr>
                <w:rFonts w:ascii="Verdana" w:hAnsi="Verdana" w:eastAsia="宋体" w:cs="Calibri"/>
                <w:lang w:val="en-SG"/>
              </w:rPr>
              <w:t>Mr Jun YU</w:t>
            </w:r>
          </w:p>
        </w:tc>
        <w:tc>
          <w:tcPr>
            <w:tcW w:w="5700" w:type="dxa"/>
          </w:tcPr>
          <w:p>
            <w:pPr>
              <w:snapToGrid w:val="0"/>
              <w:rPr>
                <w:rFonts w:ascii="Verdana" w:hAnsi="Verdana" w:eastAsia="宋体" w:cs="Calibri"/>
                <w:lang w:val="en-SG"/>
              </w:rPr>
            </w:pPr>
            <w:r>
              <w:rPr>
                <w:rFonts w:ascii="Verdana" w:hAnsi="Verdana" w:eastAsia="宋体" w:cs="Calibri"/>
                <w:lang w:val="en-SG"/>
              </w:rPr>
              <w:t>Regional Officer, RAP</w:t>
            </w:r>
          </w:p>
        </w:tc>
      </w:tr>
    </w:tbl>
    <w:p>
      <w:pPr>
        <w:snapToGrid w:val="0"/>
        <w:rPr>
          <w:rFonts w:ascii="Verdana" w:hAnsi="Verdana" w:cs="Calibri"/>
          <w:lang w:val="en-SG"/>
        </w:rPr>
      </w:pPr>
    </w:p>
    <w:p>
      <w:pPr>
        <w:numPr>
          <w:ilvl w:val="0"/>
          <w:numId w:val="3"/>
        </w:numPr>
        <w:snapToGrid w:val="0"/>
        <w:rPr>
          <w:rFonts w:ascii="Verdana" w:hAnsi="Verdana" w:eastAsia="宋体" w:cs="Calibri"/>
          <w:b/>
          <w:bCs/>
          <w:lang w:val="en-SG"/>
        </w:rPr>
      </w:pPr>
      <w:r>
        <w:rPr>
          <w:rFonts w:ascii="Verdana" w:hAnsi="Verdana" w:eastAsia="宋体" w:cs="Calibri"/>
          <w:b/>
          <w:bCs/>
          <w:lang w:val="en-SG"/>
        </w:rPr>
        <w:t>WMO RA II</w:t>
      </w:r>
    </w:p>
    <w:tbl>
      <w:tblPr>
        <w:tblStyle w:val="7"/>
        <w:tblW w:w="84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6"/>
        <w:gridCol w:w="5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Pr>
          <w:p>
            <w:pPr>
              <w:snapToGrid w:val="0"/>
              <w:rPr>
                <w:rFonts w:ascii="Verdana" w:hAnsi="Verdana" w:eastAsia="宋体" w:cs="Calibri"/>
                <w:b/>
                <w:bCs/>
                <w:lang w:val="en-SG"/>
              </w:rPr>
            </w:pPr>
            <w:r>
              <w:rPr>
                <w:rFonts w:ascii="Verdana" w:hAnsi="Verdana" w:eastAsia="宋体" w:cs="Calibri"/>
                <w:b/>
                <w:bCs/>
                <w:lang w:val="en-SG"/>
              </w:rPr>
              <w:t>Name</w:t>
            </w:r>
          </w:p>
        </w:tc>
        <w:tc>
          <w:tcPr>
            <w:tcW w:w="5680" w:type="dxa"/>
          </w:tcPr>
          <w:p>
            <w:pPr>
              <w:snapToGrid w:val="0"/>
              <w:rPr>
                <w:rFonts w:ascii="Verdana" w:hAnsi="Verdana" w:eastAsia="宋体" w:cs="Calibri"/>
                <w:b/>
                <w:bCs/>
                <w:lang w:val="en-SG"/>
              </w:rPr>
            </w:pPr>
            <w:r>
              <w:rPr>
                <w:rFonts w:ascii="Verdana" w:hAnsi="Verdana" w:eastAsia="宋体" w:cs="Calibri"/>
                <w:b/>
                <w:bCs/>
                <w:lang w:val="en-SG"/>
              </w:rPr>
              <w:t>Title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Pr>
          <w:p>
            <w:pPr>
              <w:snapToGrid w:val="0"/>
              <w:rPr>
                <w:rFonts w:ascii="Verdana" w:hAnsi="Verdana" w:eastAsia="宋体" w:cs="Calibri"/>
                <w:lang w:val="en-SG"/>
              </w:rPr>
            </w:pPr>
            <w:r>
              <w:rPr>
                <w:rFonts w:hint="eastAsia" w:ascii="Verdana" w:hAnsi="Verdana" w:eastAsia="宋体" w:cs="Times New Roman"/>
              </w:rPr>
              <w:t>Dr Abdulla Al Mandous</w:t>
            </w:r>
          </w:p>
        </w:tc>
        <w:tc>
          <w:tcPr>
            <w:tcW w:w="5680" w:type="dxa"/>
          </w:tcPr>
          <w:p>
            <w:pPr>
              <w:snapToGrid w:val="0"/>
              <w:rPr>
                <w:rFonts w:ascii="Verdana" w:hAnsi="Verdana" w:eastAsia="宋体" w:cs="Calibri"/>
                <w:lang w:val="en-SG"/>
              </w:rPr>
            </w:pPr>
            <w:r>
              <w:rPr>
                <w:rFonts w:ascii="Verdana" w:hAnsi="Verdana" w:eastAsia="宋体" w:cs="Calibri"/>
                <w:lang w:val="en-SG"/>
              </w:rPr>
              <w:t>President</w:t>
            </w:r>
            <w:r>
              <w:rPr>
                <w:rFonts w:hint="eastAsia" w:ascii="Verdana" w:hAnsi="Verdana" w:eastAsia="宋体" w:cs="Calibri"/>
              </w:rPr>
              <w:t xml:space="preserve"> </w:t>
            </w:r>
            <w:r>
              <w:rPr>
                <w:rFonts w:ascii="Verdana" w:hAnsi="Verdana" w:eastAsia="宋体" w:cs="Calibri"/>
                <w:lang w:val="en-SG"/>
              </w:rPr>
              <w:t>of RA 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66" w:type="dxa"/>
          </w:tcPr>
          <w:p>
            <w:pPr>
              <w:snapToGrid w:val="0"/>
              <w:rPr>
                <w:rFonts w:ascii="Verdana" w:hAnsi="Verdana" w:eastAsia="宋体" w:cs="Calibri"/>
                <w:b/>
                <w:bCs/>
                <w:lang w:val="en-SG"/>
              </w:rPr>
            </w:pPr>
            <w:r>
              <w:rPr>
                <w:rFonts w:ascii="Verdana" w:hAnsi="Verdana" w:eastAsia="宋体" w:cs="Calibri"/>
                <w:lang w:val="en-SG"/>
              </w:rPr>
              <w:t>Mr Qingliang ZHOU</w:t>
            </w:r>
          </w:p>
        </w:tc>
        <w:tc>
          <w:tcPr>
            <w:tcW w:w="5680" w:type="dxa"/>
          </w:tcPr>
          <w:p>
            <w:pPr>
              <w:snapToGrid w:val="0"/>
              <w:rPr>
                <w:rFonts w:ascii="Verdana" w:hAnsi="Verdana" w:eastAsia="宋体" w:cs="Calibri"/>
                <w:b/>
                <w:bCs/>
                <w:lang w:val="en-SG"/>
              </w:rPr>
            </w:pPr>
            <w:r>
              <w:rPr>
                <w:rFonts w:ascii="Verdana" w:hAnsi="Verdana" w:eastAsia="宋体" w:cs="Calibri"/>
                <w:lang w:val="en-SG"/>
              </w:rPr>
              <w:t xml:space="preserve">Chair of RA II WG Services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Pr>
          <w:p>
            <w:pPr>
              <w:snapToGrid w:val="0"/>
              <w:rPr>
                <w:rFonts w:ascii="Verdana" w:hAnsi="Verdana" w:eastAsia="宋体" w:cs="Calibri"/>
                <w:b/>
                <w:bCs/>
                <w:lang w:val="en-SG"/>
              </w:rPr>
            </w:pPr>
            <w:r>
              <w:rPr>
                <w:rFonts w:ascii="Verdana" w:hAnsi="Verdana" w:eastAsia="宋体" w:cs="Calibri"/>
                <w:lang w:val="en-SG"/>
              </w:rPr>
              <w:t>Dr/Ms Kamaljit RAY</w:t>
            </w:r>
          </w:p>
        </w:tc>
        <w:tc>
          <w:tcPr>
            <w:tcW w:w="5680" w:type="dxa"/>
          </w:tcPr>
          <w:p>
            <w:pPr>
              <w:snapToGrid w:val="0"/>
              <w:rPr>
                <w:rFonts w:ascii="Verdana" w:hAnsi="Verdana" w:eastAsia="宋体" w:cs="Calibri"/>
                <w:b/>
                <w:bCs/>
                <w:lang w:val="en-SG"/>
              </w:rPr>
            </w:pPr>
            <w:r>
              <w:rPr>
                <w:rFonts w:ascii="Verdana" w:hAnsi="Verdana" w:eastAsia="宋体" w:cs="Calibri"/>
                <w:lang w:val="en-SG"/>
              </w:rPr>
              <w:t>Vice chair of RA II WG Services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Mr SATO Yoshiaki</w:t>
            </w:r>
          </w:p>
        </w:tc>
        <w:tc>
          <w:tcPr>
            <w:tcW w:w="5680" w:type="dxa"/>
          </w:tcPr>
          <w:p>
            <w:pPr>
              <w:snapToGrid w:val="0"/>
              <w:rPr>
                <w:rFonts w:ascii="Verdana" w:hAnsi="Verdana" w:eastAsia="宋体" w:cs="Calibri"/>
                <w:b/>
                <w:bCs/>
                <w:lang w:val="en-SG"/>
              </w:rPr>
            </w:pPr>
            <w:r>
              <w:rPr>
                <w:rFonts w:ascii="Verdana" w:hAnsi="Verdana" w:eastAsia="宋体" w:cs="Calibri"/>
                <w:lang w:val="en-SG"/>
              </w:rPr>
              <w:t>Chair of RA II WG Infrastructure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lang w:val="en-SG"/>
              </w:rPr>
            </w:pPr>
            <w:r>
              <w:rPr>
                <w:rFonts w:ascii="Verdana" w:hAnsi="Verdana" w:eastAsia="宋体" w:cs="Calibri"/>
                <w:lang w:val="en-SG"/>
              </w:rPr>
              <w:t>Dr Mai Van KHIEM</w:t>
            </w:r>
          </w:p>
        </w:tc>
        <w:tc>
          <w:tcPr>
            <w:tcW w:w="5680" w:type="dxa"/>
          </w:tcPr>
          <w:p>
            <w:pPr>
              <w:snapToGrid w:val="0"/>
              <w:rPr>
                <w:rFonts w:ascii="Verdana" w:hAnsi="Verdana" w:eastAsia="宋体" w:cs="Calibri"/>
                <w:lang w:val="en-SG"/>
              </w:rPr>
            </w:pPr>
            <w:r>
              <w:rPr>
                <w:rFonts w:ascii="Verdana" w:hAnsi="Verdana" w:eastAsia="宋体" w:cs="Calibri"/>
                <w:lang w:val="en-SG"/>
              </w:rPr>
              <w:t>RA II Regional Focal Point on Research</w:t>
            </w:r>
          </w:p>
        </w:tc>
      </w:tr>
    </w:tbl>
    <w:p>
      <w:pPr>
        <w:snapToGrid w:val="0"/>
        <w:rPr>
          <w:rFonts w:ascii="Verdana" w:hAnsi="Verdana" w:eastAsia="宋体" w:cs="Calibri"/>
          <w:b/>
          <w:bCs/>
          <w:lang w:val="en-SG"/>
        </w:rPr>
      </w:pPr>
    </w:p>
    <w:p>
      <w:pPr>
        <w:numPr>
          <w:ilvl w:val="0"/>
          <w:numId w:val="3"/>
        </w:numPr>
        <w:snapToGrid w:val="0"/>
        <w:ind w:left="0" w:leftChars="0" w:firstLine="0" w:firstLineChars="0"/>
        <w:rPr>
          <w:rFonts w:ascii="Verdana" w:hAnsi="Verdana" w:eastAsia="宋体" w:cs="Calibri"/>
          <w:b/>
          <w:bCs/>
          <w:lang w:val="en-SG"/>
        </w:rPr>
      </w:pPr>
      <w:r>
        <w:rPr>
          <w:rFonts w:ascii="Verdana" w:hAnsi="Verdana" w:eastAsia="宋体" w:cs="Calibri"/>
          <w:b/>
          <w:bCs/>
          <w:lang w:val="en-SG"/>
        </w:rPr>
        <w:t>WMO Technical Commission and technical advisors</w:t>
      </w:r>
    </w:p>
    <w:tbl>
      <w:tblPr>
        <w:tblStyle w:val="7"/>
        <w:tblW w:w="8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6"/>
        <w:gridCol w:w="5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Pr>
          <w:p>
            <w:pPr>
              <w:snapToGrid w:val="0"/>
              <w:rPr>
                <w:rFonts w:ascii="Verdana" w:hAnsi="Verdana" w:eastAsia="宋体" w:cs="Calibri"/>
                <w:b/>
                <w:bCs/>
                <w:lang w:val="en-SG"/>
              </w:rPr>
            </w:pPr>
            <w:r>
              <w:rPr>
                <w:rFonts w:ascii="Verdana" w:hAnsi="Verdana" w:eastAsia="宋体" w:cs="Calibri"/>
                <w:b/>
                <w:bCs/>
                <w:lang w:val="en-SG"/>
              </w:rPr>
              <w:t>Name</w:t>
            </w:r>
          </w:p>
        </w:tc>
        <w:tc>
          <w:tcPr>
            <w:tcW w:w="5690" w:type="dxa"/>
          </w:tcPr>
          <w:p>
            <w:pPr>
              <w:snapToGrid w:val="0"/>
              <w:rPr>
                <w:rFonts w:ascii="Verdana" w:hAnsi="Verdana" w:eastAsia="宋体" w:cs="Calibri"/>
                <w:b/>
                <w:bCs/>
                <w:lang w:val="en-SG"/>
              </w:rPr>
            </w:pPr>
            <w:r>
              <w:rPr>
                <w:rFonts w:ascii="Verdana" w:hAnsi="Verdana" w:eastAsia="宋体" w:cs="Calibri"/>
                <w:b/>
                <w:bCs/>
                <w:lang w:val="en-SG"/>
              </w:rPr>
              <w:t>Title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Pr>
          <w:p>
            <w:pPr>
              <w:snapToGrid w:val="0"/>
              <w:rPr>
                <w:rFonts w:ascii="Verdana" w:hAnsi="Verdana" w:eastAsia="宋体" w:cs="Calibri"/>
                <w:b/>
                <w:bCs/>
                <w:lang w:val="en-SG"/>
              </w:rPr>
            </w:pPr>
            <w:r>
              <w:rPr>
                <w:rFonts w:ascii="Verdana" w:hAnsi="Verdana" w:eastAsia="宋体" w:cs="Calibri"/>
                <w:lang w:val="en-SG"/>
              </w:rPr>
              <w:t>Dr Feng LIANG</w:t>
            </w:r>
          </w:p>
        </w:tc>
        <w:tc>
          <w:tcPr>
            <w:tcW w:w="5690" w:type="dxa"/>
          </w:tcPr>
          <w:p>
            <w:pPr>
              <w:snapToGrid w:val="0"/>
              <w:rPr>
                <w:rFonts w:ascii="Verdana" w:hAnsi="Verdana" w:eastAsia="宋体" w:cs="Calibri"/>
                <w:b/>
                <w:bCs/>
                <w:lang w:val="en-SG"/>
              </w:rPr>
            </w:pPr>
            <w:r>
              <w:rPr>
                <w:rFonts w:ascii="Verdana" w:hAnsi="Verdana" w:eastAsia="宋体" w:cs="Calibri"/>
                <w:lang w:val="en-SG"/>
              </w:rPr>
              <w:t>Co-Chair, Study Group on Integrated Urban Services/SERCOM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Dr Chao REN</w:t>
            </w:r>
          </w:p>
        </w:tc>
        <w:tc>
          <w:tcPr>
            <w:tcW w:w="5690" w:type="dxa"/>
          </w:tcPr>
          <w:p>
            <w:pPr>
              <w:snapToGrid w:val="0"/>
              <w:rPr>
                <w:rFonts w:ascii="Verdana" w:hAnsi="Verdana" w:eastAsia="宋体" w:cs="Calibri"/>
                <w:b/>
                <w:bCs/>
                <w:lang w:val="en-SG"/>
              </w:rPr>
            </w:pPr>
            <w:r>
              <w:rPr>
                <w:rFonts w:ascii="Verdana" w:hAnsi="Verdana" w:eastAsia="宋体" w:cs="Calibri"/>
                <w:lang w:val="en-SG"/>
              </w:rPr>
              <w:t>Associate Professor, the University of Hong Kong</w:t>
            </w:r>
          </w:p>
        </w:tc>
      </w:tr>
    </w:tbl>
    <w:p>
      <w:pPr>
        <w:snapToGrid w:val="0"/>
        <w:rPr>
          <w:rFonts w:ascii="Verdana" w:hAnsi="Verdana" w:eastAsia="宋体" w:cs="Calibri"/>
          <w:b/>
          <w:bCs/>
          <w:lang w:val="en-SG"/>
        </w:rPr>
      </w:pPr>
    </w:p>
    <w:p>
      <w:pPr>
        <w:numPr>
          <w:ilvl w:val="0"/>
          <w:numId w:val="3"/>
        </w:numPr>
        <w:snapToGrid w:val="0"/>
        <w:ind w:left="0" w:leftChars="0" w:firstLine="0" w:firstLineChars="0"/>
        <w:rPr>
          <w:rFonts w:ascii="Verdana" w:hAnsi="Verdana" w:eastAsia="宋体" w:cs="Calibri"/>
          <w:b/>
          <w:bCs/>
          <w:lang w:val="en-SG"/>
        </w:rPr>
      </w:pPr>
      <w:r>
        <w:rPr>
          <w:rFonts w:ascii="Verdana" w:hAnsi="Verdana" w:eastAsia="宋体" w:cs="Calibri"/>
          <w:b/>
          <w:bCs/>
          <w:lang w:val="en-SG"/>
        </w:rPr>
        <w:t>CMA</w:t>
      </w:r>
    </w:p>
    <w:tbl>
      <w:tblPr>
        <w:tblStyle w:val="7"/>
        <w:tblW w:w="8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6"/>
        <w:gridCol w:w="5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Pr>
          <w:p>
            <w:pPr>
              <w:snapToGrid w:val="0"/>
              <w:rPr>
                <w:rFonts w:ascii="Verdana" w:hAnsi="Verdana" w:eastAsia="宋体" w:cs="Calibri"/>
                <w:b/>
                <w:bCs/>
                <w:lang w:val="en-SG"/>
              </w:rPr>
            </w:pPr>
            <w:r>
              <w:rPr>
                <w:rFonts w:ascii="Verdana" w:hAnsi="Verdana" w:eastAsia="宋体" w:cs="Calibri"/>
                <w:b/>
                <w:bCs/>
                <w:lang w:val="en-SG"/>
              </w:rPr>
              <w:t>Name</w:t>
            </w:r>
          </w:p>
        </w:tc>
        <w:tc>
          <w:tcPr>
            <w:tcW w:w="5690" w:type="dxa"/>
          </w:tcPr>
          <w:p>
            <w:pPr>
              <w:snapToGrid w:val="0"/>
              <w:rPr>
                <w:rFonts w:ascii="Verdana" w:hAnsi="Verdana" w:eastAsia="宋体" w:cs="Calibri"/>
                <w:b/>
                <w:bCs/>
                <w:lang w:val="en-SG"/>
              </w:rPr>
            </w:pPr>
            <w:r>
              <w:rPr>
                <w:rFonts w:ascii="Verdana" w:hAnsi="Verdana" w:eastAsia="宋体" w:cs="Calibri"/>
                <w:b/>
                <w:bCs/>
                <w:lang w:val="en-SG"/>
              </w:rPr>
              <w:t>Title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Pr>
          <w:p>
            <w:pPr>
              <w:snapToGrid w:val="0"/>
              <w:rPr>
                <w:rFonts w:ascii="Verdana" w:hAnsi="Verdana" w:eastAsia="宋体" w:cs="Calibri"/>
                <w:b/>
                <w:bCs/>
              </w:rPr>
            </w:pPr>
            <w:r>
              <w:rPr>
                <w:rFonts w:hint="eastAsia" w:ascii="Verdana" w:hAnsi="Verdana" w:eastAsia="宋体" w:cs="Calibri"/>
              </w:rPr>
              <w:t>Mr XiangHua XU</w:t>
            </w:r>
          </w:p>
        </w:tc>
        <w:tc>
          <w:tcPr>
            <w:tcW w:w="5690" w:type="dxa"/>
            <w:vAlign w:val="center"/>
          </w:tcPr>
          <w:p>
            <w:pPr>
              <w:pStyle w:val="5"/>
              <w:snapToGrid w:val="0"/>
              <w:spacing w:after="0" w:line="240" w:lineRule="auto"/>
              <w:rPr>
                <w:rFonts w:ascii="Verdana" w:hAnsi="Verdana" w:cs="Calibri"/>
                <w:lang w:val="en-SG"/>
              </w:rPr>
            </w:pPr>
            <w:r>
              <w:rPr>
                <w:rFonts w:hint="eastAsia" w:ascii="Verdana" w:hAnsi="Verdana" w:cs="Calibri"/>
                <w:lang w:val="en-US"/>
              </w:rPr>
              <w:t>Deputy Direct General, Department of International Cooperation, CMA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Pr>
          <w:p>
            <w:pPr>
              <w:snapToGrid w:val="0"/>
              <w:rPr>
                <w:rFonts w:ascii="Verdana" w:hAnsi="Verdana" w:eastAsia="宋体" w:cs="Calibri"/>
                <w:b/>
                <w:bCs/>
                <w:lang w:val="en-SG"/>
              </w:rPr>
            </w:pPr>
            <w:r>
              <w:rPr>
                <w:rFonts w:hint="eastAsia" w:ascii="Verdana" w:hAnsi="Verdana" w:eastAsia="宋体" w:cs="Calibri"/>
                <w:lang w:val="en-SG"/>
              </w:rPr>
              <w:t>Dr Haobo TAN</w:t>
            </w:r>
          </w:p>
        </w:tc>
        <w:tc>
          <w:tcPr>
            <w:tcW w:w="5690" w:type="dxa"/>
          </w:tcPr>
          <w:p>
            <w:pPr>
              <w:snapToGrid w:val="0"/>
              <w:rPr>
                <w:rFonts w:ascii="Verdana" w:hAnsi="Verdana" w:eastAsia="宋体" w:cs="Times New Roman"/>
                <w:b/>
                <w:bCs/>
                <w:lang w:val="en-SG"/>
              </w:rPr>
            </w:pPr>
            <w:r>
              <w:rPr>
                <w:rFonts w:hint="eastAsia" w:ascii="Verdana" w:hAnsi="Verdana" w:eastAsia="宋体" w:cs="Calibri"/>
              </w:rPr>
              <w:t xml:space="preserve">Vice-Director General, </w:t>
            </w:r>
            <w:r>
              <w:rPr>
                <w:rFonts w:ascii="Verdana" w:hAnsi="Verdana" w:eastAsia="宋体" w:cs="Calibri"/>
                <w:lang w:val="en-SG"/>
              </w:rPr>
              <w:t>Guangdong Meteorological Service</w:t>
            </w:r>
            <w:r>
              <w:rPr>
                <w:rFonts w:ascii="Verdana" w:hAnsi="Verdana" w:eastAsia="宋体" w:cs="Times New Roman"/>
                <w:lang w:val="en-SG"/>
              </w:rPr>
              <w:t xml:space="preserve">, CMA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Ms Yanqing WANG</w:t>
            </w:r>
          </w:p>
        </w:tc>
        <w:tc>
          <w:tcPr>
            <w:tcW w:w="5690" w:type="dxa"/>
          </w:tcPr>
          <w:p>
            <w:pPr>
              <w:snapToGrid w:val="0"/>
              <w:rPr>
                <w:rFonts w:ascii="Verdana" w:hAnsi="Verdana" w:eastAsia="宋体" w:cs="Times New Roman"/>
                <w:lang w:val="en-SG"/>
              </w:rPr>
            </w:pPr>
            <w:r>
              <w:rPr>
                <w:rFonts w:ascii="Verdana" w:hAnsi="Verdana" w:eastAsia="宋体" w:cs="Calibri"/>
                <w:lang w:val="en-SG"/>
              </w:rPr>
              <w:t>Director general, Shenzhen Meteorological Service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Mr Xia MAO</w:t>
            </w:r>
          </w:p>
        </w:tc>
        <w:tc>
          <w:tcPr>
            <w:tcW w:w="5690" w:type="dxa"/>
          </w:tcPr>
          <w:p>
            <w:pPr>
              <w:snapToGrid w:val="0"/>
              <w:rPr>
                <w:rFonts w:ascii="Verdana" w:hAnsi="Verdana" w:eastAsia="宋体" w:cs="Times New Roman"/>
                <w:lang w:val="en-SG"/>
              </w:rPr>
            </w:pPr>
            <w:r>
              <w:rPr>
                <w:rFonts w:ascii="Verdana" w:hAnsi="Verdana" w:eastAsia="宋体" w:cs="Calibri"/>
                <w:lang w:val="en-SG"/>
              </w:rPr>
              <w:t>Deputy Director General, Shenzhen Meteorological Service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Dr/Ms Xiaolin WEI</w:t>
            </w:r>
          </w:p>
        </w:tc>
        <w:tc>
          <w:tcPr>
            <w:tcW w:w="5690" w:type="dxa"/>
          </w:tcPr>
          <w:p>
            <w:pPr>
              <w:snapToGrid w:val="0"/>
              <w:rPr>
                <w:rFonts w:ascii="Verdana" w:hAnsi="Verdana" w:eastAsia="宋体" w:cs="Times New Roman"/>
                <w:lang w:val="en-SG"/>
              </w:rPr>
            </w:pPr>
            <w:r>
              <w:rPr>
                <w:rFonts w:ascii="Verdana" w:hAnsi="Verdana" w:eastAsia="宋体" w:cs="Calibri"/>
                <w:lang w:val="en-SG"/>
              </w:rPr>
              <w:t>Senior Engineer, Weather Warning and Forecasting Division, Shenzhen Meteorological Service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Mr Minghua LI</w:t>
            </w:r>
          </w:p>
        </w:tc>
        <w:tc>
          <w:tcPr>
            <w:tcW w:w="5690" w:type="dxa"/>
          </w:tcPr>
          <w:p>
            <w:pPr>
              <w:snapToGrid w:val="0"/>
              <w:rPr>
                <w:rFonts w:ascii="Verdana" w:hAnsi="Verdana" w:eastAsia="宋体" w:cs="Times New Roman"/>
                <w:lang w:val="en-SG"/>
              </w:rPr>
            </w:pPr>
            <w:r>
              <w:rPr>
                <w:rFonts w:ascii="Verdana" w:hAnsi="Verdana" w:eastAsia="宋体" w:cs="Calibri"/>
                <w:lang w:val="en-SG"/>
              </w:rPr>
              <w:t>Vice head, Weather Warning and Forecasting Division, Shenzhen Meteorological Service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Mr Dunxun LIU</w:t>
            </w:r>
          </w:p>
        </w:tc>
        <w:tc>
          <w:tcPr>
            <w:tcW w:w="5690" w:type="dxa"/>
          </w:tcPr>
          <w:p>
            <w:pPr>
              <w:snapToGrid w:val="0"/>
              <w:rPr>
                <w:rFonts w:ascii="Verdana" w:hAnsi="Verdana" w:eastAsia="宋体" w:cs="Times New Roman"/>
                <w:lang w:val="en-SG"/>
              </w:rPr>
            </w:pPr>
            <w:r>
              <w:rPr>
                <w:rFonts w:ascii="Verdana" w:hAnsi="Verdana" w:eastAsia="宋体" w:cs="Calibri"/>
                <w:lang w:val="en-SG"/>
              </w:rPr>
              <w:t>Senior Engineer, Planning and Development Division, Shenzhen Meteorological Service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 xml:space="preserve">Ms Shuting ZHANG </w:t>
            </w:r>
          </w:p>
        </w:tc>
        <w:tc>
          <w:tcPr>
            <w:tcW w:w="5690" w:type="dxa"/>
          </w:tcPr>
          <w:p>
            <w:pPr>
              <w:snapToGrid w:val="0"/>
              <w:rPr>
                <w:rFonts w:ascii="Verdana" w:hAnsi="Verdana" w:eastAsia="宋体" w:cs="Times New Roman"/>
                <w:lang w:val="en-SG"/>
              </w:rPr>
            </w:pPr>
            <w:r>
              <w:rPr>
                <w:rFonts w:ascii="Verdana" w:hAnsi="Verdana" w:eastAsia="宋体" w:cs="Calibri"/>
                <w:lang w:val="en-SG"/>
              </w:rPr>
              <w:t>Engineer, Weather Warning and Forecasting Division, Shenzhen Meteorological Service</w:t>
            </w:r>
          </w:p>
        </w:tc>
      </w:tr>
    </w:tbl>
    <w:p>
      <w:pPr>
        <w:snapToGrid w:val="0"/>
        <w:rPr>
          <w:rFonts w:ascii="Verdana" w:hAnsi="Verdana"/>
          <w:lang w:val="en-SG"/>
        </w:rPr>
      </w:pPr>
    </w:p>
    <w:p>
      <w:pPr>
        <w:numPr>
          <w:ilvl w:val="0"/>
          <w:numId w:val="3"/>
        </w:numPr>
        <w:snapToGrid w:val="0"/>
        <w:ind w:left="0" w:leftChars="0" w:firstLine="0" w:firstLineChars="0"/>
        <w:rPr>
          <w:rFonts w:ascii="Verdana" w:hAnsi="Verdana" w:eastAsia="宋体" w:cs="Calibri"/>
          <w:b/>
          <w:bCs/>
          <w:lang w:val="en-SG"/>
        </w:rPr>
      </w:pPr>
      <w:r>
        <w:rPr>
          <w:rFonts w:ascii="Verdana" w:hAnsi="Verdana" w:eastAsia="宋体" w:cs="Calibri"/>
          <w:b/>
          <w:bCs/>
          <w:lang w:val="en-SG"/>
        </w:rPr>
        <w:t>HKO</w:t>
      </w:r>
    </w:p>
    <w:tbl>
      <w:tblPr>
        <w:tblStyle w:val="7"/>
        <w:tblW w:w="84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6"/>
        <w:gridCol w:w="5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Pr>
          <w:p>
            <w:pPr>
              <w:snapToGrid w:val="0"/>
              <w:rPr>
                <w:rFonts w:ascii="Verdana" w:hAnsi="Verdana" w:eastAsia="宋体" w:cs="Calibri"/>
                <w:b/>
                <w:bCs/>
                <w:lang w:val="en-SG"/>
              </w:rPr>
            </w:pPr>
            <w:r>
              <w:rPr>
                <w:rFonts w:ascii="Verdana" w:hAnsi="Verdana" w:eastAsia="宋体" w:cs="Calibri"/>
                <w:b/>
                <w:bCs/>
                <w:lang w:val="en-SG"/>
              </w:rPr>
              <w:t>Name</w:t>
            </w:r>
          </w:p>
        </w:tc>
        <w:tc>
          <w:tcPr>
            <w:tcW w:w="5700" w:type="dxa"/>
          </w:tcPr>
          <w:p>
            <w:pPr>
              <w:snapToGrid w:val="0"/>
              <w:rPr>
                <w:rFonts w:ascii="Verdana" w:hAnsi="Verdana" w:eastAsia="宋体" w:cs="Calibri"/>
                <w:b/>
                <w:bCs/>
                <w:lang w:val="en-SG"/>
              </w:rPr>
            </w:pPr>
            <w:r>
              <w:rPr>
                <w:rFonts w:ascii="Verdana" w:hAnsi="Verdana" w:eastAsia="宋体" w:cs="Calibri"/>
                <w:b/>
                <w:bCs/>
                <w:lang w:val="en-SG"/>
              </w:rPr>
              <w:t>Title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Mr Pak Wai CHAN</w:t>
            </w:r>
          </w:p>
        </w:tc>
        <w:tc>
          <w:tcPr>
            <w:tcW w:w="5700" w:type="dxa"/>
          </w:tcPr>
          <w:p>
            <w:pPr>
              <w:snapToGrid w:val="0"/>
              <w:rPr>
                <w:rFonts w:ascii="Verdana" w:hAnsi="Verdana" w:eastAsia="宋体" w:cs="Calibri"/>
                <w:b/>
                <w:bCs/>
                <w:lang w:val="en-SG"/>
              </w:rPr>
            </w:pPr>
            <w:r>
              <w:rPr>
                <w:rFonts w:ascii="Verdana" w:hAnsi="Verdana" w:eastAsia="宋体" w:cs="Calibri"/>
                <w:lang w:val="en-SG"/>
              </w:rPr>
              <w:t>Assistant Director, Hong Kong Observatory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Mr Wai KONG</w:t>
            </w:r>
          </w:p>
        </w:tc>
        <w:tc>
          <w:tcPr>
            <w:tcW w:w="5700" w:type="dxa"/>
          </w:tcPr>
          <w:p>
            <w:pPr>
              <w:snapToGrid w:val="0"/>
              <w:rPr>
                <w:rFonts w:ascii="Verdana" w:hAnsi="Verdana" w:eastAsia="宋体" w:cs="Calibri"/>
                <w:b/>
                <w:bCs/>
                <w:lang w:val="en-SG"/>
              </w:rPr>
            </w:pPr>
            <w:r>
              <w:rPr>
                <w:rFonts w:ascii="Verdana" w:hAnsi="Verdana" w:eastAsia="宋体" w:cs="Calibri"/>
                <w:lang w:val="en-SG"/>
              </w:rPr>
              <w:t>Senior Scientific Officer, High Impact Weather Team，Hong Kong Observatory</w:t>
            </w:r>
          </w:p>
        </w:tc>
      </w:tr>
    </w:tbl>
    <w:p>
      <w:pPr>
        <w:snapToGrid w:val="0"/>
        <w:rPr>
          <w:rFonts w:ascii="Verdana" w:hAnsi="Verdana" w:eastAsia="宋体" w:cs="Calibri"/>
          <w:b/>
          <w:bCs/>
          <w:lang w:val="en-SG"/>
        </w:rPr>
      </w:pPr>
    </w:p>
    <w:p>
      <w:pPr>
        <w:numPr>
          <w:ilvl w:val="0"/>
          <w:numId w:val="3"/>
        </w:numPr>
        <w:snapToGrid w:val="0"/>
        <w:ind w:left="0" w:leftChars="0" w:firstLine="0" w:firstLineChars="0"/>
        <w:rPr>
          <w:rFonts w:ascii="Verdana" w:hAnsi="Verdana" w:eastAsia="宋体" w:cs="Calibri"/>
          <w:b/>
          <w:bCs/>
          <w:lang w:val="en-SG"/>
        </w:rPr>
      </w:pPr>
      <w:r>
        <w:rPr>
          <w:rFonts w:ascii="Verdana" w:hAnsi="Verdana" w:eastAsia="宋体" w:cs="Calibri"/>
          <w:b/>
          <w:bCs/>
          <w:lang w:val="en-SG"/>
        </w:rPr>
        <w:t>SMG</w:t>
      </w:r>
    </w:p>
    <w:tbl>
      <w:tblPr>
        <w:tblStyle w:val="7"/>
        <w:tblW w:w="84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6"/>
        <w:gridCol w:w="5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Pr>
          <w:p>
            <w:pPr>
              <w:snapToGrid w:val="0"/>
              <w:rPr>
                <w:rFonts w:ascii="Verdana" w:hAnsi="Verdana" w:eastAsia="宋体" w:cs="Calibri"/>
                <w:b/>
                <w:bCs/>
                <w:lang w:val="en-SG"/>
              </w:rPr>
            </w:pPr>
            <w:r>
              <w:rPr>
                <w:rFonts w:ascii="Verdana" w:hAnsi="Verdana" w:eastAsia="宋体" w:cs="Calibri"/>
                <w:b/>
                <w:bCs/>
                <w:lang w:val="en-SG"/>
              </w:rPr>
              <w:t>Name</w:t>
            </w:r>
          </w:p>
        </w:tc>
        <w:tc>
          <w:tcPr>
            <w:tcW w:w="5710" w:type="dxa"/>
          </w:tcPr>
          <w:p>
            <w:pPr>
              <w:snapToGrid w:val="0"/>
              <w:rPr>
                <w:rFonts w:ascii="Verdana" w:hAnsi="Verdana" w:eastAsia="宋体" w:cs="Calibri"/>
                <w:b/>
                <w:bCs/>
                <w:lang w:val="en-SG"/>
              </w:rPr>
            </w:pPr>
            <w:r>
              <w:rPr>
                <w:rFonts w:ascii="Verdana" w:hAnsi="Verdana" w:eastAsia="宋体" w:cs="Calibri"/>
                <w:b/>
                <w:bCs/>
                <w:lang w:val="en-SG"/>
              </w:rPr>
              <w:t>Title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Mr Iu Man TANG</w:t>
            </w:r>
          </w:p>
        </w:tc>
        <w:tc>
          <w:tcPr>
            <w:tcW w:w="5710" w:type="dxa"/>
          </w:tcPr>
          <w:p>
            <w:pPr>
              <w:snapToGrid w:val="0"/>
              <w:rPr>
                <w:rFonts w:ascii="Verdana" w:hAnsi="Verdana" w:eastAsia="宋体" w:cs="Calibri"/>
                <w:b/>
                <w:bCs/>
                <w:lang w:val="en-SG"/>
              </w:rPr>
            </w:pPr>
            <w:r>
              <w:rPr>
                <w:rFonts w:ascii="Verdana" w:hAnsi="Verdana" w:eastAsia="宋体" w:cs="Calibri"/>
                <w:lang w:val="en-SG"/>
              </w:rPr>
              <w:t xml:space="preserve">Vice Director, </w:t>
            </w:r>
            <w:r>
              <w:rPr>
                <w:rFonts w:ascii="Verdana" w:hAnsi="Verdana" w:eastAsia="宋体" w:cs="Calibri"/>
                <w:lang w:val="en-SG" w:eastAsia="ja-JP"/>
              </w:rPr>
              <w:t xml:space="preserve">Macao Meteorological and Geophysical Bureau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vAlign w:val="center"/>
          </w:tcPr>
          <w:p>
            <w:pPr>
              <w:snapToGrid w:val="0"/>
              <w:rPr>
                <w:rFonts w:ascii="Verdana" w:hAnsi="Verdana" w:eastAsia="宋体" w:cs="Calibri"/>
                <w:b/>
                <w:bCs/>
                <w:lang w:val="en-SG"/>
              </w:rPr>
            </w:pPr>
            <w:r>
              <w:rPr>
                <w:rFonts w:ascii="Verdana" w:hAnsi="Verdana" w:eastAsia="宋体" w:cs="Calibri"/>
                <w:lang w:val="en-SG"/>
              </w:rPr>
              <w:t xml:space="preserve">Mr Chan Wa LOK </w:t>
            </w:r>
          </w:p>
        </w:tc>
        <w:tc>
          <w:tcPr>
            <w:tcW w:w="5710" w:type="dxa"/>
          </w:tcPr>
          <w:p>
            <w:pPr>
              <w:snapToGrid w:val="0"/>
              <w:rPr>
                <w:rFonts w:ascii="Verdana" w:hAnsi="Verdana" w:eastAsia="宋体" w:cs="Calibri"/>
                <w:b/>
                <w:bCs/>
                <w:lang w:val="en-SG"/>
              </w:rPr>
            </w:pPr>
            <w:r>
              <w:rPr>
                <w:rFonts w:ascii="Verdana" w:hAnsi="Verdana" w:eastAsia="宋体" w:cs="Calibri"/>
                <w:lang w:val="en-SG"/>
              </w:rPr>
              <w:t xml:space="preserve">Chief of Meteorological Monitoring Center, </w:t>
            </w:r>
            <w:r>
              <w:rPr>
                <w:rFonts w:ascii="Verdana" w:hAnsi="Verdana" w:eastAsia="宋体" w:cs="Calibri"/>
                <w:lang w:val="en-SG" w:eastAsia="ja-JP"/>
              </w:rPr>
              <w:t xml:space="preserve">Macao Meteorological and Geophysical Bureau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66" w:type="dxa"/>
            <w:vAlign w:val="center"/>
          </w:tcPr>
          <w:p>
            <w:pPr>
              <w:snapToGrid w:val="0"/>
              <w:rPr>
                <w:rFonts w:ascii="Verdana" w:hAnsi="Verdana" w:eastAsia="宋体" w:cs="Calibri"/>
                <w:lang w:val="en-SG"/>
              </w:rPr>
            </w:pPr>
            <w:r>
              <w:rPr>
                <w:rFonts w:ascii="Verdana" w:hAnsi="Verdana" w:eastAsia="宋体" w:cs="Calibri"/>
                <w:lang w:val="en-SG"/>
              </w:rPr>
              <w:t>Mr Man Chi WONG</w:t>
            </w:r>
          </w:p>
        </w:tc>
        <w:tc>
          <w:tcPr>
            <w:tcW w:w="5710" w:type="dxa"/>
          </w:tcPr>
          <w:p>
            <w:pPr>
              <w:snapToGrid w:val="0"/>
              <w:rPr>
                <w:rFonts w:ascii="Verdana" w:hAnsi="Verdana" w:eastAsia="宋体" w:cs="Calibri"/>
                <w:lang w:val="en-SG"/>
              </w:rPr>
            </w:pPr>
            <w:r>
              <w:rPr>
                <w:rFonts w:ascii="Verdana" w:hAnsi="Verdana" w:eastAsia="宋体" w:cs="Calibri"/>
                <w:lang w:val="en-SG"/>
              </w:rPr>
              <w:t xml:space="preserve">Technician, </w:t>
            </w:r>
            <w:r>
              <w:rPr>
                <w:rFonts w:ascii="Verdana" w:hAnsi="Verdana" w:eastAsia="宋体" w:cs="Calibri"/>
                <w:lang w:val="en-SG" w:eastAsia="ja-JP"/>
              </w:rPr>
              <w:t xml:space="preserve">Macao Meteorological and Geophysical Bureau </w:t>
            </w:r>
          </w:p>
        </w:tc>
      </w:tr>
    </w:tbl>
    <w:p>
      <w:pPr>
        <w:spacing w:line="320" w:lineRule="exact"/>
        <w:rPr>
          <w:rFonts w:ascii="Times New Roman" w:hAnsi="Times New Roman" w:cs="Times New Roman"/>
          <w:sz w:val="24"/>
          <w:szCs w:val="24"/>
        </w:rPr>
      </w:pPr>
    </w:p>
    <w:p>
      <w:pPr>
        <w:spacing w:line="320" w:lineRule="exact"/>
        <w:ind w:firstLine="0" w:firstLineChars="0"/>
        <w:rPr>
          <w:rFonts w:ascii="Times New Roman" w:hAnsi="Times New Roman" w:cs="Times New Roman"/>
          <w:b/>
          <w:sz w:val="20"/>
          <w:szCs w:val="2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PingFang SC">
    <w:altName w:val="宋体"/>
    <w:panose1 w:val="00000000000000000000"/>
    <w:charset w:val="86"/>
    <w:family w:val="swiss"/>
    <w:pitch w:val="default"/>
    <w:sig w:usb0="00000000" w:usb1="00000000" w:usb2="00000000" w:usb3="00000000" w:csb0="00040000" w:csb1="00000000"/>
  </w:font>
  <w:font w:name="方正小标宋简体">
    <w:altName w:val="宋体"/>
    <w:panose1 w:val="03000509000000000000"/>
    <w:charset w:val="86"/>
    <w:family w:val="auto"/>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C5E2A1"/>
    <w:multiLevelType w:val="singleLevel"/>
    <w:tmpl w:val="F1C5E2A1"/>
    <w:lvl w:ilvl="0" w:tentative="0">
      <w:start w:val="2"/>
      <w:numFmt w:val="decimal"/>
      <w:suff w:val="space"/>
      <w:lvlText w:val="%1."/>
      <w:lvlJc w:val="left"/>
    </w:lvl>
  </w:abstractNum>
  <w:abstractNum w:abstractNumId="1">
    <w:nsid w:val="37CE2B07"/>
    <w:multiLevelType w:val="multilevel"/>
    <w:tmpl w:val="37CE2B0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B7C128E"/>
    <w:multiLevelType w:val="singleLevel"/>
    <w:tmpl w:val="7B7C128E"/>
    <w:lvl w:ilvl="0" w:tentative="0">
      <w:start w:val="1"/>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YwMWJhYTU0NTE2MmE5ZWVkNTFjZTA1NTc1MjhlNDcifQ=="/>
  </w:docVars>
  <w:rsids>
    <w:rsidRoot w:val="00F034DE"/>
    <w:rsid w:val="00014839"/>
    <w:rsid w:val="00016ED3"/>
    <w:rsid w:val="0002145C"/>
    <w:rsid w:val="0002377E"/>
    <w:rsid w:val="0003372E"/>
    <w:rsid w:val="000528B1"/>
    <w:rsid w:val="00083E14"/>
    <w:rsid w:val="00090E3F"/>
    <w:rsid w:val="000C5E8B"/>
    <w:rsid w:val="000D3C33"/>
    <w:rsid w:val="000F02D7"/>
    <w:rsid w:val="000F2B8C"/>
    <w:rsid w:val="00106890"/>
    <w:rsid w:val="00106A8B"/>
    <w:rsid w:val="00106CA9"/>
    <w:rsid w:val="00110BF2"/>
    <w:rsid w:val="00120B66"/>
    <w:rsid w:val="00120E29"/>
    <w:rsid w:val="00132012"/>
    <w:rsid w:val="00135A26"/>
    <w:rsid w:val="001401F0"/>
    <w:rsid w:val="0016515F"/>
    <w:rsid w:val="001A68A8"/>
    <w:rsid w:val="001C5FCF"/>
    <w:rsid w:val="001D3592"/>
    <w:rsid w:val="001D4856"/>
    <w:rsid w:val="001D589D"/>
    <w:rsid w:val="001E2122"/>
    <w:rsid w:val="00200E89"/>
    <w:rsid w:val="00217473"/>
    <w:rsid w:val="00227420"/>
    <w:rsid w:val="00232909"/>
    <w:rsid w:val="00235192"/>
    <w:rsid w:val="0025051F"/>
    <w:rsid w:val="00261055"/>
    <w:rsid w:val="00295DEC"/>
    <w:rsid w:val="00296098"/>
    <w:rsid w:val="002A5C4C"/>
    <w:rsid w:val="002B128A"/>
    <w:rsid w:val="002B1C67"/>
    <w:rsid w:val="002C3127"/>
    <w:rsid w:val="002C77D8"/>
    <w:rsid w:val="002D03CC"/>
    <w:rsid w:val="002F6BFF"/>
    <w:rsid w:val="0030002C"/>
    <w:rsid w:val="003225BD"/>
    <w:rsid w:val="00342002"/>
    <w:rsid w:val="003525D2"/>
    <w:rsid w:val="00357BD0"/>
    <w:rsid w:val="00365266"/>
    <w:rsid w:val="00365846"/>
    <w:rsid w:val="00373BEB"/>
    <w:rsid w:val="00384214"/>
    <w:rsid w:val="003907A8"/>
    <w:rsid w:val="00391D9E"/>
    <w:rsid w:val="003957E7"/>
    <w:rsid w:val="003A2CC3"/>
    <w:rsid w:val="003A69EC"/>
    <w:rsid w:val="003B13B3"/>
    <w:rsid w:val="003B444C"/>
    <w:rsid w:val="003B46ED"/>
    <w:rsid w:val="003B5538"/>
    <w:rsid w:val="003C3C2C"/>
    <w:rsid w:val="003C7BA1"/>
    <w:rsid w:val="003D1705"/>
    <w:rsid w:val="003D6061"/>
    <w:rsid w:val="00422C01"/>
    <w:rsid w:val="004238A1"/>
    <w:rsid w:val="0043445E"/>
    <w:rsid w:val="00451757"/>
    <w:rsid w:val="0046507F"/>
    <w:rsid w:val="0048421D"/>
    <w:rsid w:val="004927E6"/>
    <w:rsid w:val="004A0276"/>
    <w:rsid w:val="004A4673"/>
    <w:rsid w:val="004B1569"/>
    <w:rsid w:val="004B5A04"/>
    <w:rsid w:val="004B747A"/>
    <w:rsid w:val="004C39CB"/>
    <w:rsid w:val="004C6225"/>
    <w:rsid w:val="004F35B1"/>
    <w:rsid w:val="004F764E"/>
    <w:rsid w:val="00516DB6"/>
    <w:rsid w:val="0052087E"/>
    <w:rsid w:val="0052498D"/>
    <w:rsid w:val="005327B9"/>
    <w:rsid w:val="00543B9B"/>
    <w:rsid w:val="00543E59"/>
    <w:rsid w:val="00551730"/>
    <w:rsid w:val="00552FCE"/>
    <w:rsid w:val="005558F7"/>
    <w:rsid w:val="00563DEA"/>
    <w:rsid w:val="00565FAA"/>
    <w:rsid w:val="00577D20"/>
    <w:rsid w:val="005A2BFA"/>
    <w:rsid w:val="005B19BC"/>
    <w:rsid w:val="005B4A62"/>
    <w:rsid w:val="005C2C0F"/>
    <w:rsid w:val="006100D5"/>
    <w:rsid w:val="0061262C"/>
    <w:rsid w:val="00622167"/>
    <w:rsid w:val="00623815"/>
    <w:rsid w:val="00651DEE"/>
    <w:rsid w:val="00662A71"/>
    <w:rsid w:val="00663DE0"/>
    <w:rsid w:val="0066664C"/>
    <w:rsid w:val="00673CBF"/>
    <w:rsid w:val="00675A78"/>
    <w:rsid w:val="00700424"/>
    <w:rsid w:val="007024EA"/>
    <w:rsid w:val="00702F48"/>
    <w:rsid w:val="00742106"/>
    <w:rsid w:val="00742CDB"/>
    <w:rsid w:val="00743A4C"/>
    <w:rsid w:val="007440F8"/>
    <w:rsid w:val="007540EF"/>
    <w:rsid w:val="007557C2"/>
    <w:rsid w:val="00764A9B"/>
    <w:rsid w:val="007722EB"/>
    <w:rsid w:val="007811E5"/>
    <w:rsid w:val="007A193E"/>
    <w:rsid w:val="007A5AEC"/>
    <w:rsid w:val="007C28E7"/>
    <w:rsid w:val="007C478D"/>
    <w:rsid w:val="007F0A6E"/>
    <w:rsid w:val="007F1540"/>
    <w:rsid w:val="0080370F"/>
    <w:rsid w:val="0082527D"/>
    <w:rsid w:val="00830ECC"/>
    <w:rsid w:val="00831255"/>
    <w:rsid w:val="008352D7"/>
    <w:rsid w:val="00853A09"/>
    <w:rsid w:val="0086456E"/>
    <w:rsid w:val="00877019"/>
    <w:rsid w:val="0089092A"/>
    <w:rsid w:val="008A159F"/>
    <w:rsid w:val="008A4F9B"/>
    <w:rsid w:val="008E0199"/>
    <w:rsid w:val="008E70FB"/>
    <w:rsid w:val="008F39AA"/>
    <w:rsid w:val="00902C19"/>
    <w:rsid w:val="0090565A"/>
    <w:rsid w:val="00912AD1"/>
    <w:rsid w:val="0092071B"/>
    <w:rsid w:val="009269FC"/>
    <w:rsid w:val="00935225"/>
    <w:rsid w:val="009439C4"/>
    <w:rsid w:val="00951355"/>
    <w:rsid w:val="00957D29"/>
    <w:rsid w:val="0098377B"/>
    <w:rsid w:val="0098400B"/>
    <w:rsid w:val="009B3265"/>
    <w:rsid w:val="009B3E25"/>
    <w:rsid w:val="009B5054"/>
    <w:rsid w:val="009D32AE"/>
    <w:rsid w:val="009E73D1"/>
    <w:rsid w:val="00A00B46"/>
    <w:rsid w:val="00A04D7F"/>
    <w:rsid w:val="00A12B8C"/>
    <w:rsid w:val="00A37CA5"/>
    <w:rsid w:val="00A60240"/>
    <w:rsid w:val="00A649A8"/>
    <w:rsid w:val="00A9090E"/>
    <w:rsid w:val="00A95134"/>
    <w:rsid w:val="00AA1046"/>
    <w:rsid w:val="00AA15F1"/>
    <w:rsid w:val="00AA70CE"/>
    <w:rsid w:val="00AA74A5"/>
    <w:rsid w:val="00AB0232"/>
    <w:rsid w:val="00AB7DA3"/>
    <w:rsid w:val="00AD7BE5"/>
    <w:rsid w:val="00AE7A63"/>
    <w:rsid w:val="00AF159A"/>
    <w:rsid w:val="00B0291E"/>
    <w:rsid w:val="00B141B3"/>
    <w:rsid w:val="00B331C1"/>
    <w:rsid w:val="00B41D35"/>
    <w:rsid w:val="00B54652"/>
    <w:rsid w:val="00B62588"/>
    <w:rsid w:val="00B80FA1"/>
    <w:rsid w:val="00BC2DBF"/>
    <w:rsid w:val="00BD72C4"/>
    <w:rsid w:val="00BE08C4"/>
    <w:rsid w:val="00C05F6E"/>
    <w:rsid w:val="00C133D3"/>
    <w:rsid w:val="00C138C5"/>
    <w:rsid w:val="00C24FD5"/>
    <w:rsid w:val="00C255F8"/>
    <w:rsid w:val="00C303D7"/>
    <w:rsid w:val="00C40D06"/>
    <w:rsid w:val="00C41A9D"/>
    <w:rsid w:val="00C41DEC"/>
    <w:rsid w:val="00C70884"/>
    <w:rsid w:val="00C7309F"/>
    <w:rsid w:val="00C80F45"/>
    <w:rsid w:val="00C866EA"/>
    <w:rsid w:val="00CA185D"/>
    <w:rsid w:val="00CA3529"/>
    <w:rsid w:val="00CA4A81"/>
    <w:rsid w:val="00CB5D76"/>
    <w:rsid w:val="00CC2D27"/>
    <w:rsid w:val="00CC355F"/>
    <w:rsid w:val="00CC761F"/>
    <w:rsid w:val="00CD528E"/>
    <w:rsid w:val="00CD765A"/>
    <w:rsid w:val="00D03BD2"/>
    <w:rsid w:val="00D26138"/>
    <w:rsid w:val="00D31F2E"/>
    <w:rsid w:val="00D32E3A"/>
    <w:rsid w:val="00D5439F"/>
    <w:rsid w:val="00D55697"/>
    <w:rsid w:val="00D6727C"/>
    <w:rsid w:val="00D74B6E"/>
    <w:rsid w:val="00DA2D69"/>
    <w:rsid w:val="00DA58AA"/>
    <w:rsid w:val="00DC2709"/>
    <w:rsid w:val="00DE4056"/>
    <w:rsid w:val="00DE40ED"/>
    <w:rsid w:val="00DF00FF"/>
    <w:rsid w:val="00DF2D3A"/>
    <w:rsid w:val="00E023AD"/>
    <w:rsid w:val="00E105A2"/>
    <w:rsid w:val="00E1560F"/>
    <w:rsid w:val="00E20265"/>
    <w:rsid w:val="00E46D7C"/>
    <w:rsid w:val="00E67871"/>
    <w:rsid w:val="00E719BD"/>
    <w:rsid w:val="00E75446"/>
    <w:rsid w:val="00E76385"/>
    <w:rsid w:val="00E77CCC"/>
    <w:rsid w:val="00E801AD"/>
    <w:rsid w:val="00E9182D"/>
    <w:rsid w:val="00EC40E1"/>
    <w:rsid w:val="00EE3CDD"/>
    <w:rsid w:val="00EF1F76"/>
    <w:rsid w:val="00EF2562"/>
    <w:rsid w:val="00F034DE"/>
    <w:rsid w:val="00F159EF"/>
    <w:rsid w:val="00F21204"/>
    <w:rsid w:val="00F372E7"/>
    <w:rsid w:val="00F465B2"/>
    <w:rsid w:val="00F53D22"/>
    <w:rsid w:val="00F74DE9"/>
    <w:rsid w:val="00F8205C"/>
    <w:rsid w:val="00F8618D"/>
    <w:rsid w:val="00F951D5"/>
    <w:rsid w:val="00FC6383"/>
    <w:rsid w:val="00FC67A9"/>
    <w:rsid w:val="00FE198F"/>
    <w:rsid w:val="00FE26E3"/>
    <w:rsid w:val="00FF1349"/>
    <w:rsid w:val="00FF3F98"/>
    <w:rsid w:val="00FF6D1D"/>
    <w:rsid w:val="0F1647A5"/>
    <w:rsid w:val="10024285"/>
    <w:rsid w:val="127E5BBC"/>
    <w:rsid w:val="331558C8"/>
    <w:rsid w:val="36D934F0"/>
    <w:rsid w:val="3C5D70C3"/>
    <w:rsid w:val="48F96634"/>
    <w:rsid w:val="49386B3F"/>
    <w:rsid w:val="64AA68D3"/>
    <w:rsid w:val="673D2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semiHidden/>
    <w:qFormat/>
    <w:uiPriority w:val="0"/>
    <w:pPr>
      <w:widowControl/>
      <w:tabs>
        <w:tab w:val="left" w:pos="1134"/>
      </w:tabs>
      <w:spacing w:after="160" w:line="259" w:lineRule="auto"/>
      <w:jc w:val="left"/>
    </w:pPr>
    <w:rPr>
      <w:rFonts w:ascii="Calibri" w:hAnsi="Calibri" w:eastAsia="等线" w:cs="Times New Roman"/>
      <w:kern w:val="0"/>
      <w:sz w:val="22"/>
      <w:lang w:val="en-GB"/>
    </w:rPr>
  </w:style>
  <w:style w:type="table" w:styleId="7">
    <w:name w:val="Table Grid"/>
    <w:basedOn w:val="6"/>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qFormat/>
    <w:uiPriority w:val="99"/>
    <w:rPr>
      <w:sz w:val="18"/>
      <w:szCs w:val="18"/>
    </w:rPr>
  </w:style>
  <w:style w:type="character" w:customStyle="1" w:styleId="10">
    <w:name w:val="页脚 字符"/>
    <w:basedOn w:val="8"/>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字符"/>
    <w:basedOn w:val="8"/>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9121</Words>
  <Characters>23726</Characters>
  <Lines>45</Lines>
  <Paragraphs>12</Paragraphs>
  <TotalTime>4</TotalTime>
  <ScaleCrop>false</ScaleCrop>
  <LinksUpToDate>false</LinksUpToDate>
  <CharactersWithSpaces>26894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2022-03-07T00:37:00Z</dcterms:created>
  <dc:creator>贾宁(拟稿)</dc:creator>
  <cp:lastModifiedBy>薯条</cp:lastModifiedBy>
  <dcterms:modified xsi:type="dcterms:W3CDTF">2022-11-15T08:23:44Z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B64B378EB6604942900305B13B696405</vt:lpwstr>
  </property>
</Properties>
</file>