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adjustRightInd w:val="0"/>
        <w:spacing w:after="0" w:line="360" w:lineRule="exact"/>
        <w:jc w:val="center"/>
        <w:rPr>
          <w:rFonts w:ascii="Times New Roman" w:hAnsi="Times New Roman" w:eastAsia="方正小标宋简体"/>
          <w:b/>
          <w:bCs/>
          <w:color w:val="000000"/>
          <w:sz w:val="24"/>
          <w:szCs w:val="24"/>
          <w:lang w:val="en-US"/>
        </w:rPr>
      </w:pPr>
      <w:r>
        <w:rPr>
          <w:rFonts w:ascii="Times New Roman" w:hAnsi="Times New Roman"/>
          <w:b/>
          <w:bCs/>
          <w:sz w:val="24"/>
          <w:szCs w:val="24"/>
        </w:rPr>
        <w:t xml:space="preserve">Summary Report of </w:t>
      </w:r>
      <w:bookmarkStart w:id="0" w:name="_Hlk59178413"/>
      <w:r>
        <w:rPr>
          <w:rFonts w:ascii="Times New Roman" w:hAnsi="Times New Roman"/>
          <w:b/>
          <w:bCs/>
          <w:sz w:val="24"/>
          <w:szCs w:val="24"/>
        </w:rPr>
        <w:t xml:space="preserve">the </w:t>
      </w:r>
      <w:r>
        <w:rPr>
          <w:rFonts w:ascii="Times New Roman" w:hAnsi="Times New Roman" w:eastAsia="方正小标宋简体"/>
          <w:b/>
          <w:bCs/>
          <w:color w:val="000000"/>
          <w:sz w:val="24"/>
          <w:szCs w:val="24"/>
          <w:lang w:val="en-US"/>
        </w:rPr>
        <w:t>Preparatory Meeting for WMO Pilot Project on Public-Private Engagement for Smart Meteorological Services in Mega-Cities</w:t>
      </w:r>
    </w:p>
    <w:bookmarkEnd w:id="0"/>
    <w:p>
      <w:pPr>
        <w:autoSpaceDE w:val="0"/>
        <w:autoSpaceDN w:val="0"/>
        <w:adjustRightInd w:val="0"/>
        <w:spacing w:line="360" w:lineRule="exact"/>
        <w:jc w:val="center"/>
        <w:rPr>
          <w:rFonts w:ascii="Times New Roman" w:hAnsi="Times New Roman" w:eastAsia="PingFang SC" w:cs="Times New Roman"/>
          <w:sz w:val="24"/>
          <w:szCs w:val="24"/>
        </w:rPr>
      </w:pPr>
      <w:r>
        <w:rPr>
          <w:rFonts w:ascii="Times New Roman" w:hAnsi="Times New Roman" w:eastAsia="PingFang SC" w:cs="Times New Roman"/>
          <w:sz w:val="24"/>
          <w:szCs w:val="24"/>
        </w:rPr>
        <w:t>(</w:t>
      </w:r>
      <w:r>
        <w:rPr>
          <w:rFonts w:hint="eastAsia" w:ascii="Times New Roman" w:hAnsi="Times New Roman" w:eastAsia="PingFang SC" w:cs="Times New Roman"/>
          <w:sz w:val="24"/>
          <w:szCs w:val="24"/>
          <w:lang w:val="en-US" w:eastAsia="zh-CN"/>
        </w:rPr>
        <w:t>host by CMA, HKO, SMG</w:t>
      </w:r>
      <w:r>
        <w:rPr>
          <w:rFonts w:ascii="Times New Roman" w:hAnsi="Times New Roman" w:eastAsia="PingFang SC" w:cs="Times New Roman"/>
          <w:sz w:val="24"/>
          <w:szCs w:val="24"/>
        </w:rPr>
        <w:t xml:space="preserve">, </w:t>
      </w:r>
      <w:r>
        <w:rPr>
          <w:rFonts w:hint="eastAsia" w:ascii="Times New Roman" w:hAnsi="Times New Roman" w:eastAsia="PingFang SC" w:cs="Times New Roman"/>
          <w:sz w:val="24"/>
          <w:szCs w:val="24"/>
          <w:lang w:val="en-US" w:eastAsia="zh-CN"/>
        </w:rPr>
        <w:t>15</w:t>
      </w:r>
      <w:r>
        <w:rPr>
          <w:rFonts w:hint="eastAsia" w:ascii="Times New Roman" w:hAnsi="Times New Roman" w:eastAsia="PingFang SC" w:cs="Times New Roman"/>
          <w:sz w:val="24"/>
          <w:szCs w:val="24"/>
          <w:vertAlign w:val="superscript"/>
          <w:lang w:val="en-US" w:eastAsia="zh-CN"/>
        </w:rPr>
        <w:t>th</w:t>
      </w:r>
      <w:r>
        <w:rPr>
          <w:rFonts w:ascii="Times New Roman" w:hAnsi="Times New Roman" w:eastAsia="PingFang SC" w:cs="Times New Roman"/>
          <w:sz w:val="24"/>
          <w:szCs w:val="24"/>
        </w:rPr>
        <w:t xml:space="preserve"> </w:t>
      </w:r>
      <w:r>
        <w:rPr>
          <w:rFonts w:hint="eastAsia" w:ascii="Times New Roman" w:hAnsi="Times New Roman" w:eastAsia="PingFang SC" w:cs="Times New Roman"/>
          <w:sz w:val="24"/>
          <w:szCs w:val="24"/>
          <w:lang w:val="en-US" w:eastAsia="zh-CN"/>
        </w:rPr>
        <w:t>Dec</w:t>
      </w:r>
      <w:r>
        <w:rPr>
          <w:rFonts w:ascii="Times New Roman" w:hAnsi="Times New Roman" w:eastAsia="PingFang SC" w:cs="Times New Roman"/>
          <w:sz w:val="24"/>
          <w:szCs w:val="24"/>
        </w:rPr>
        <w:t xml:space="preserve"> 2021)</w:t>
      </w:r>
    </w:p>
    <w:p>
      <w:pPr>
        <w:autoSpaceDE w:val="0"/>
        <w:autoSpaceDN w:val="0"/>
        <w:adjustRightInd w:val="0"/>
        <w:spacing w:line="360" w:lineRule="exact"/>
        <w:jc w:val="center"/>
        <w:rPr>
          <w:rFonts w:ascii="Times New Roman" w:hAnsi="Times New Roman" w:eastAsia="PingFang SC" w:cs="Times New Roman"/>
          <w:sz w:val="24"/>
          <w:szCs w:val="24"/>
        </w:rPr>
      </w:pPr>
      <w:r>
        <w:rPr>
          <w:rFonts w:ascii="Times New Roman" w:hAnsi="Times New Roman" w:eastAsia="PingFang SC" w:cs="Times New Roman"/>
          <w:sz w:val="24"/>
          <w:szCs w:val="24"/>
        </w:rPr>
        <w:t>(Draft)</w:t>
      </w:r>
    </w:p>
    <w:p>
      <w:pPr>
        <w:adjustRightInd w:val="0"/>
        <w:spacing w:line="360" w:lineRule="exact"/>
        <w:rPr>
          <w:rFonts w:ascii="Times New Roman" w:hAnsi="Times New Roman" w:cs="Times New Roman"/>
          <w:b/>
          <w:bCs/>
          <w:sz w:val="24"/>
          <w:szCs w:val="24"/>
        </w:rPr>
      </w:pPr>
    </w:p>
    <w:p>
      <w:pPr>
        <w:adjustRightInd w:val="0"/>
        <w:spacing w:line="360" w:lineRule="exact"/>
        <w:rPr>
          <w:rFonts w:ascii="Times New Roman" w:hAnsi="Times New Roman" w:cs="Times New Roman"/>
          <w:b/>
          <w:sz w:val="24"/>
          <w:szCs w:val="24"/>
        </w:rPr>
      </w:pPr>
      <w:r>
        <w:rPr>
          <w:rFonts w:ascii="Times New Roman" w:hAnsi="Times New Roman" w:cs="Times New Roman"/>
          <w:b/>
          <w:sz w:val="24"/>
          <w:szCs w:val="24"/>
        </w:rPr>
        <w:t>Agenda</w:t>
      </w:r>
    </w:p>
    <w:p>
      <w:pPr>
        <w:pStyle w:val="9"/>
        <w:numPr>
          <w:ilvl w:val="0"/>
          <w:numId w:val="1"/>
        </w:numPr>
        <w:snapToGrid w:val="0"/>
        <w:spacing w:after="120"/>
        <w:ind w:left="0" w:leftChars="0" w:firstLine="480" w:firstLineChars="200"/>
        <w:rPr>
          <w:rFonts w:ascii="Arial" w:hAnsi="Arial" w:cs="Arial"/>
          <w:sz w:val="24"/>
          <w:szCs w:val="24"/>
        </w:rPr>
      </w:pPr>
      <w:r>
        <w:rPr>
          <w:rFonts w:hint="eastAsia" w:ascii="Arial" w:hAnsi="Arial" w:cs="Arial"/>
          <w:sz w:val="24"/>
          <w:szCs w:val="24"/>
          <w:lang w:val="en-US" w:eastAsia="zh-CN"/>
        </w:rPr>
        <w:t>Speech</w:t>
      </w:r>
    </w:p>
    <w:p>
      <w:pPr>
        <w:pStyle w:val="9"/>
        <w:numPr>
          <w:ilvl w:val="0"/>
          <w:numId w:val="1"/>
        </w:numPr>
        <w:snapToGrid w:val="0"/>
        <w:spacing w:after="120"/>
        <w:ind w:left="0" w:leftChars="0" w:firstLine="480" w:firstLineChars="200"/>
        <w:rPr>
          <w:rFonts w:ascii="Arial" w:hAnsi="Arial" w:cs="Arial"/>
          <w:sz w:val="24"/>
          <w:szCs w:val="24"/>
        </w:rPr>
      </w:pPr>
      <w:r>
        <w:rPr>
          <w:rFonts w:hint="eastAsia" w:ascii="Arial" w:hAnsi="Arial" w:cs="Arial"/>
          <w:sz w:val="24"/>
          <w:szCs w:val="24"/>
        </w:rPr>
        <w:t>Discussion on technical issues</w:t>
      </w:r>
      <w:r>
        <w:rPr>
          <w:rFonts w:hint="eastAsia" w:ascii="Arial" w:hAnsi="Arial" w:cs="Arial"/>
          <w:sz w:val="24"/>
          <w:szCs w:val="24"/>
          <w:lang w:val="en-US" w:eastAsia="zh-CN"/>
        </w:rPr>
        <w:t>:</w:t>
      </w:r>
      <w:r>
        <w:rPr>
          <w:rFonts w:ascii="Arial" w:hAnsi="Arial" w:cs="Arial"/>
          <w:sz w:val="24"/>
          <w:szCs w:val="24"/>
        </w:rPr>
        <w:t>Presentation by CMA, HKO and SMG</w:t>
      </w:r>
      <w:r>
        <w:rPr>
          <w:rFonts w:hint="eastAsia" w:ascii="Arial" w:hAnsi="Arial" w:cs="Arial"/>
          <w:sz w:val="24"/>
          <w:szCs w:val="24"/>
          <w:lang w:val="en-US" w:eastAsia="zh-CN"/>
        </w:rPr>
        <w:t xml:space="preserve"> and then open discussion</w:t>
      </w:r>
    </w:p>
    <w:p>
      <w:pPr>
        <w:pStyle w:val="9"/>
        <w:numPr>
          <w:ilvl w:val="0"/>
          <w:numId w:val="1"/>
        </w:numPr>
        <w:snapToGrid w:val="0"/>
        <w:spacing w:after="120"/>
        <w:ind w:left="0" w:leftChars="0" w:firstLine="480" w:firstLineChars="200"/>
        <w:rPr>
          <w:rFonts w:ascii="Arial" w:hAnsi="Arial" w:cs="Arial"/>
          <w:sz w:val="24"/>
          <w:szCs w:val="24"/>
        </w:rPr>
      </w:pPr>
      <w:r>
        <w:rPr>
          <w:rFonts w:hint="eastAsia" w:ascii="Arial" w:hAnsi="Arial" w:cs="Arial"/>
          <w:sz w:val="24"/>
          <w:szCs w:val="24"/>
        </w:rPr>
        <w:t>Project organization structure, action plan and timeline discussion</w:t>
      </w:r>
    </w:p>
    <w:p>
      <w:pPr>
        <w:pStyle w:val="9"/>
        <w:numPr>
          <w:ilvl w:val="0"/>
          <w:numId w:val="1"/>
        </w:numPr>
        <w:snapToGrid w:val="0"/>
        <w:spacing w:after="120"/>
        <w:ind w:left="0" w:leftChars="0" w:firstLine="480" w:firstLineChars="200"/>
        <w:rPr>
          <w:rFonts w:ascii="Arial" w:hAnsi="Arial" w:cs="Arial"/>
          <w:sz w:val="24"/>
          <w:szCs w:val="24"/>
        </w:rPr>
      </w:pPr>
      <w:r>
        <w:rPr>
          <w:rFonts w:ascii="Arial" w:hAnsi="Arial" w:cs="Arial"/>
          <w:sz w:val="24"/>
          <w:szCs w:val="24"/>
        </w:rPr>
        <w:t>Wrap-up</w:t>
      </w:r>
    </w:p>
    <w:p>
      <w:pPr>
        <w:adjustRightInd w:val="0"/>
        <w:spacing w:line="360" w:lineRule="exact"/>
        <w:rPr>
          <w:rFonts w:ascii="Times New Roman" w:hAnsi="Times New Roman" w:cs="Times New Roman"/>
          <w:b/>
          <w:sz w:val="24"/>
          <w:szCs w:val="24"/>
        </w:rPr>
      </w:pPr>
      <w:r>
        <w:rPr>
          <w:rFonts w:ascii="Times New Roman" w:hAnsi="Times New Roman" w:cs="Times New Roman"/>
          <w:b/>
          <w:sz w:val="24"/>
          <w:szCs w:val="24"/>
        </w:rPr>
        <w:t>Introduction</w:t>
      </w:r>
    </w:p>
    <w:p>
      <w:pPr>
        <w:autoSpaceDE w:val="0"/>
        <w:autoSpaceDN w:val="0"/>
        <w:adjustRightInd w:val="0"/>
        <w:spacing w:line="360" w:lineRule="exact"/>
        <w:rPr>
          <w:rFonts w:ascii="Times New Roman" w:hAnsi="Times New Roman" w:eastAsia="PingFang SC" w:cs="Times New Roman"/>
          <w:sz w:val="24"/>
          <w:szCs w:val="24"/>
        </w:rPr>
      </w:pPr>
      <w:r>
        <w:rPr>
          <w:rFonts w:ascii="Times New Roman" w:hAnsi="Times New Roman" w:eastAsia="PingFang SC" w:cs="Times New Roman"/>
          <w:sz w:val="24"/>
          <w:szCs w:val="24"/>
        </w:rPr>
        <w:t xml:space="preserve">In </w:t>
      </w:r>
      <w:r>
        <w:rPr>
          <w:rFonts w:hint="eastAsia" w:ascii="Times New Roman" w:hAnsi="Times New Roman" w:eastAsia="PingFang SC" w:cs="Times New Roman"/>
          <w:sz w:val="24"/>
          <w:szCs w:val="24"/>
        </w:rPr>
        <w:t xml:space="preserve">order to prepare for </w:t>
      </w:r>
      <w:r>
        <w:rPr>
          <w:rFonts w:ascii="Times New Roman" w:hAnsi="Times New Roman" w:eastAsia="PingFang SC" w:cs="Times New Roman"/>
          <w:sz w:val="24"/>
          <w:szCs w:val="24"/>
        </w:rPr>
        <w:t>the</w:t>
      </w:r>
      <w:r>
        <w:rPr>
          <w:rFonts w:hint="eastAsia" w:ascii="Times New Roman" w:hAnsi="Times New Roman" w:eastAsia="PingFang SC" w:cs="Times New Roman"/>
          <w:sz w:val="24"/>
          <w:szCs w:val="24"/>
        </w:rPr>
        <w:t xml:space="preserve"> formal scoping meeting for and officially launch WMO Pilot Project</w:t>
      </w:r>
      <w:r>
        <w:rPr>
          <w:rFonts w:ascii="Times New Roman" w:hAnsi="Times New Roman" w:eastAsia="PingFang SC" w:cs="Times New Roman"/>
          <w:sz w:val="24"/>
          <w:szCs w:val="24"/>
        </w:rPr>
        <w:t xml:space="preserve"> on Public-Private Engagement for Smart Meteorological Services in Mega-Cities (PPE-SMSC), a preparatory meeting took place online for two hours and thirty minutes on 15 December 2021 to share information among and seek guidance from the stakeholders. The meeting, which was virtually attended by more than 20 participants, consisted of four parts.</w:t>
      </w:r>
    </w:p>
    <w:p>
      <w:pPr>
        <w:autoSpaceDE w:val="0"/>
        <w:autoSpaceDN w:val="0"/>
        <w:adjustRightInd w:val="0"/>
        <w:spacing w:line="360" w:lineRule="exact"/>
        <w:rPr>
          <w:rFonts w:ascii="Times New Roman" w:hAnsi="Times New Roman" w:eastAsia="PingFang SC" w:cs="Times New Roman"/>
          <w:sz w:val="24"/>
          <w:szCs w:val="24"/>
        </w:rPr>
      </w:pPr>
    </w:p>
    <w:p>
      <w:pPr>
        <w:autoSpaceDE w:val="0"/>
        <w:autoSpaceDN w:val="0"/>
        <w:adjustRightInd w:val="0"/>
        <w:spacing w:line="360" w:lineRule="exact"/>
        <w:rPr>
          <w:rFonts w:ascii="Times New Roman" w:hAnsi="Times New Roman" w:eastAsia="PingFang SC" w:cs="Times New Roman"/>
          <w:b/>
          <w:sz w:val="24"/>
          <w:szCs w:val="24"/>
        </w:rPr>
      </w:pPr>
      <w:r>
        <w:rPr>
          <w:rFonts w:ascii="Times New Roman" w:hAnsi="Times New Roman" w:eastAsia="PingFang SC" w:cs="Times New Roman"/>
          <w:b/>
          <w:sz w:val="24"/>
          <w:szCs w:val="24"/>
        </w:rPr>
        <w:t>Part I - the Opening Session</w:t>
      </w:r>
    </w:p>
    <w:p>
      <w:pPr>
        <w:autoSpaceDE w:val="0"/>
        <w:autoSpaceDN w:val="0"/>
        <w:adjustRightInd w:val="0"/>
        <w:spacing w:line="360" w:lineRule="exact"/>
        <w:rPr>
          <w:rFonts w:ascii="Times New Roman" w:hAnsi="Times New Roman" w:eastAsia="PingFang SC" w:cs="Times New Roman"/>
          <w:sz w:val="24"/>
          <w:szCs w:val="24"/>
        </w:rPr>
      </w:pPr>
      <w:r>
        <w:rPr>
          <w:rFonts w:ascii="Times New Roman" w:hAnsi="Times New Roman" w:eastAsia="PingFang SC" w:cs="Times New Roman"/>
          <w:sz w:val="24"/>
          <w:szCs w:val="24"/>
        </w:rPr>
        <w:t xml:space="preserve">This part was moderated by </w:t>
      </w:r>
      <w:r>
        <w:rPr>
          <w:rFonts w:ascii="Times New Roman" w:hAnsi="Times New Roman" w:eastAsia="PingFang SC" w:cs="Times New Roman"/>
          <w:b/>
          <w:bCs/>
          <w:sz w:val="24"/>
          <w:szCs w:val="24"/>
        </w:rPr>
        <w:t>Mr. Xia MAO</w:t>
      </w:r>
      <w:r>
        <w:rPr>
          <w:rFonts w:ascii="Times New Roman" w:hAnsi="Times New Roman" w:eastAsia="PingFang SC" w:cs="Times New Roman"/>
          <w:sz w:val="24"/>
          <w:szCs w:val="24"/>
        </w:rPr>
        <w:t xml:space="preserve">, Deputy Director-General, Shenzhen Meteorological Service (SMS) CMA, who opened the meeting at 16:00 Beijing time. With a few warm-up welcoming and background remarks, Xia invited </w:t>
      </w:r>
      <w:r>
        <w:rPr>
          <w:rFonts w:ascii="Times New Roman" w:hAnsi="Times New Roman" w:eastAsia="PingFang SC" w:cs="Times New Roman"/>
          <w:b/>
          <w:bCs/>
          <w:sz w:val="24"/>
          <w:szCs w:val="24"/>
        </w:rPr>
        <w:t>Dr. Wenjian ZHANG</w:t>
      </w:r>
      <w:r>
        <w:rPr>
          <w:rFonts w:ascii="Times New Roman" w:hAnsi="Times New Roman" w:eastAsia="PingFang SC" w:cs="Times New Roman"/>
          <w:sz w:val="24"/>
          <w:szCs w:val="24"/>
        </w:rPr>
        <w:t xml:space="preserve">, Assistant Secretary-General (ASG) of WMO, to address the meeting. In his speech, Wenjian spoke highly of this exemplary PPE-based initiative pioneered by RA II and appreciated SMS, the lead implementer, for its efficient reaction to RA II’s decision, which gave confidence to the project participants. This early ‘brainstorming’ meeting was a good occasion for engagement, mobilization, consultation and inspiration. The project was piloted to showcase how PPE contributed as a smart enabler. In the context of the changing climate, the project was of regional as well as global implication. Finally, he would see an interactive and productive discussion. The meeting was then addressed by Mr. </w:t>
      </w:r>
      <w:r>
        <w:rPr>
          <w:rFonts w:ascii="Times New Roman" w:hAnsi="Times New Roman" w:eastAsia="PingFang SC" w:cs="Times New Roman"/>
          <w:b/>
          <w:bCs/>
          <w:sz w:val="24"/>
          <w:szCs w:val="24"/>
        </w:rPr>
        <w:t>Xianghua XU</w:t>
      </w:r>
      <w:r>
        <w:rPr>
          <w:rFonts w:ascii="Times New Roman" w:hAnsi="Times New Roman" w:eastAsia="PingFang SC" w:cs="Times New Roman"/>
          <w:sz w:val="24"/>
          <w:szCs w:val="24"/>
        </w:rPr>
        <w:t xml:space="preserve">, Deputy Director-General, International Cooperation Department, CMA. Xianghua noted that China and Asia, the most populous country and region, would very likely have their lessons learnt in disaster risk reduction (DRR) at coastal mega-city level to be shared by other countries and regions. SMS, a well-equipped and seasoned player, was expected to contribute its expertise and experience in this connection via the project. Finally, he hoped that more Members from RAs II and V in particular would join in in due course. Next Mr. </w:t>
      </w:r>
      <w:r>
        <w:rPr>
          <w:rFonts w:ascii="Times New Roman" w:hAnsi="Times New Roman" w:eastAsia="PingFang SC" w:cs="Times New Roman"/>
          <w:b/>
          <w:bCs/>
          <w:sz w:val="24"/>
          <w:szCs w:val="24"/>
        </w:rPr>
        <w:t>Wai KONG</w:t>
      </w:r>
      <w:r>
        <w:rPr>
          <w:rFonts w:ascii="Times New Roman" w:hAnsi="Times New Roman" w:eastAsia="PingFang SC" w:cs="Times New Roman"/>
          <w:sz w:val="24"/>
          <w:szCs w:val="24"/>
        </w:rPr>
        <w:t xml:space="preserve"> took the floor on behalf of the absent Yuen Chung CHENG, Acting Assistant Director, Hong Kong Observatory (HKO). Having appreciated all the actors involved for their wisdom and vision, Wai emphasized the worthiness of the project by singling out the disaster and hazard that his sub-region was prone and vulnerable to. He ended by committing HKO to doing its bit for the project, which would benefit other Members as well. The last speaker for this segment was </w:t>
      </w:r>
      <w:r>
        <w:rPr>
          <w:rFonts w:ascii="Times New Roman" w:hAnsi="Times New Roman" w:eastAsia="PingFang SC" w:cs="Times New Roman"/>
          <w:b/>
          <w:bCs/>
          <w:sz w:val="24"/>
          <w:szCs w:val="24"/>
        </w:rPr>
        <w:t>Mr. Tang Iu Man</w:t>
      </w:r>
      <w:r>
        <w:rPr>
          <w:rFonts w:ascii="Times New Roman" w:hAnsi="Times New Roman" w:eastAsia="PingFang SC" w:cs="Times New Roman"/>
          <w:sz w:val="24"/>
          <w:szCs w:val="24"/>
        </w:rPr>
        <w:t xml:space="preserve">, Vice Director, Macao Meteorological and Geophysical Bureau (SMG). Tang recognized the project as a contributor to the urgently needed stronger mitigation, adaptation and resilience, a joint venture that was supposed to feature PPE by engaging as many sectors as possible – public, private, academia, user community and civil society. Coastal cities were being visited by increasingly frequent and intensive events, </w:t>
      </w:r>
      <w:r>
        <w:rPr>
          <w:rFonts w:hint="eastAsia" w:ascii="Times New Roman" w:hAnsi="Times New Roman" w:eastAsia="PingFang SC" w:cs="Times New Roman"/>
          <w:sz w:val="24"/>
          <w:szCs w:val="24"/>
          <w:lang w:val="en-US" w:eastAsia="zh-CN"/>
        </w:rPr>
        <w:t>with Macao being a case in point</w:t>
      </w:r>
      <w:r>
        <w:rPr>
          <w:rFonts w:ascii="Times New Roman" w:hAnsi="Times New Roman" w:eastAsia="PingFang SC" w:cs="Times New Roman"/>
          <w:sz w:val="24"/>
          <w:szCs w:val="24"/>
        </w:rPr>
        <w:t>. So this project focusing on monitoring and warning meant a lot to his city. He went on to highlight two solutions: Be automatic from monitoring to forecasting; and be accessible in message marking and labeling. With a group photo taken in screenshot, this part was concluded.</w:t>
      </w:r>
    </w:p>
    <w:p>
      <w:pPr>
        <w:autoSpaceDE w:val="0"/>
        <w:autoSpaceDN w:val="0"/>
        <w:adjustRightInd w:val="0"/>
        <w:spacing w:line="360" w:lineRule="exact"/>
        <w:rPr>
          <w:rFonts w:ascii="Times New Roman" w:hAnsi="Times New Roman" w:eastAsia="PingFang SC" w:cs="Times New Roman"/>
          <w:sz w:val="24"/>
          <w:szCs w:val="24"/>
        </w:rPr>
      </w:pPr>
    </w:p>
    <w:p>
      <w:pPr>
        <w:autoSpaceDE w:val="0"/>
        <w:autoSpaceDN w:val="0"/>
        <w:adjustRightInd w:val="0"/>
        <w:spacing w:line="360" w:lineRule="exact"/>
        <w:rPr>
          <w:rFonts w:ascii="Times New Roman" w:hAnsi="Times New Roman" w:eastAsia="PingFang SC" w:cs="Times New Roman"/>
          <w:b/>
          <w:sz w:val="24"/>
          <w:szCs w:val="24"/>
        </w:rPr>
      </w:pPr>
      <w:r>
        <w:rPr>
          <w:rFonts w:ascii="Times New Roman" w:hAnsi="Times New Roman" w:eastAsia="PingFang SC" w:cs="Times New Roman"/>
          <w:b/>
          <w:sz w:val="24"/>
          <w:szCs w:val="24"/>
        </w:rPr>
        <w:t>Part II – Technical Issues</w:t>
      </w:r>
    </w:p>
    <w:p>
      <w:pPr>
        <w:adjustRightInd w:val="0"/>
        <w:spacing w:line="360" w:lineRule="exact"/>
        <w:rPr>
          <w:rFonts w:ascii="Times New Roman" w:hAnsi="Times New Roman" w:cs="Times New Roman"/>
          <w:sz w:val="24"/>
          <w:szCs w:val="24"/>
        </w:rPr>
      </w:pPr>
      <w:r>
        <w:rPr>
          <w:rFonts w:ascii="Times New Roman" w:hAnsi="Times New Roman" w:cs="Times New Roman"/>
          <w:sz w:val="24"/>
          <w:szCs w:val="24"/>
        </w:rPr>
        <w:t xml:space="preserve">Moderated by </w:t>
      </w:r>
      <w:r>
        <w:rPr>
          <w:rFonts w:ascii="Times New Roman" w:hAnsi="Times New Roman" w:cs="Times New Roman"/>
          <w:b/>
          <w:bCs/>
          <w:sz w:val="24"/>
          <w:szCs w:val="24"/>
        </w:rPr>
        <w:t>Mr. Qingliang ZHOU</w:t>
      </w:r>
      <w:r>
        <w:rPr>
          <w:rFonts w:ascii="Times New Roman" w:hAnsi="Times New Roman" w:cs="Times New Roman"/>
          <w:sz w:val="24"/>
          <w:szCs w:val="24"/>
        </w:rPr>
        <w:t xml:space="preserve">, Chair of WG Services, RA II, this session heard five presentations/reports and one group discussion. The first presentation, which was given by </w:t>
      </w:r>
      <w:r>
        <w:rPr>
          <w:rFonts w:ascii="Times New Roman" w:hAnsi="Times New Roman" w:cs="Times New Roman"/>
          <w:b/>
          <w:bCs/>
          <w:sz w:val="24"/>
          <w:szCs w:val="24"/>
        </w:rPr>
        <w:t>Dr. Xiaolin WEI</w:t>
      </w:r>
      <w:r>
        <w:rPr>
          <w:rFonts w:ascii="Times New Roman" w:hAnsi="Times New Roman" w:cs="Times New Roman"/>
          <w:sz w:val="24"/>
          <w:szCs w:val="24"/>
        </w:rPr>
        <w:t xml:space="preserve">, CMA Shenzhen, was a general overview of the project. Xiaolin recalled the milestones that led up to what the project was like nowadays. In a warmer, urbanizing and increasingly populated world, cities would be exposed to many global risks. Against this backdrop, a number of instruments came into being: WMO Strategic Plan 2020-2023 (WMO-No. 1225), Resolution 80 (Cg-18) – Geneva Declaration 2019, Resolution 11 (EC-72), Resolution 32 (Cg-18), Decision 2 (EC-71) and RA II priorities for 2020-2023. The project identified seven objectives with time-bound deliverables: 1) Data sharing, 2) Risk warming, 3) Information sharing, 4) Urban climate, 5) Storm surge service, 6) Flooding service and 7) PPE model, which were overseen by CMA, HKO and SMG separately and collectively. She ended by mentioning how the project would be executed and where its outputs would go. In his presentation, </w:t>
      </w:r>
      <w:r>
        <w:rPr>
          <w:rFonts w:ascii="Times New Roman" w:hAnsi="Times New Roman" w:cs="Times New Roman"/>
          <w:b/>
          <w:bCs/>
          <w:sz w:val="24"/>
          <w:szCs w:val="24"/>
        </w:rPr>
        <w:t>Mr. Minghua LI</w:t>
      </w:r>
      <w:r>
        <w:rPr>
          <w:rFonts w:ascii="Times New Roman" w:hAnsi="Times New Roman" w:cs="Times New Roman"/>
          <w:sz w:val="24"/>
          <w:szCs w:val="24"/>
        </w:rPr>
        <w:t>, CMA Shenzhen, focused on objectives 1-4. Objective 1 addressed gridded meteorological products; Objective 2 impact- and risk-based disaster risk warning services; Objective 3 a targeted information distribution system; and Objective 4 partnership for climate impact assessment. Having elaborated on them with action plans, cases, approaches, measures and assessments, Minghua further illustrated the relationship between and among the four objectives with a self-evident chart/diagram, in which the weather and climate services were pointing to the goals of city resilience and sustainable development. He concluded that all the above objectives would be operated, delivered and met through a close cooperation with stakeholders under the PPE policy framework. Objective 5, which was presented by</w:t>
      </w:r>
      <w:r>
        <w:rPr>
          <w:rFonts w:hint="eastAsia" w:ascii="Times New Roman" w:hAnsi="Times New Roman" w:cs="Times New Roman"/>
          <w:b/>
          <w:bCs/>
          <w:sz w:val="24"/>
          <w:szCs w:val="24"/>
          <w:lang w:val="en-US" w:eastAsia="zh-CN"/>
        </w:rPr>
        <w:t xml:space="preserve"> </w:t>
      </w:r>
      <w:r>
        <w:rPr>
          <w:rFonts w:ascii="Times New Roman" w:hAnsi="Times New Roman" w:cs="Times New Roman"/>
          <w:b/>
          <w:bCs/>
          <w:sz w:val="24"/>
          <w:szCs w:val="24"/>
        </w:rPr>
        <w:t>Wai</w:t>
      </w:r>
      <w:r>
        <w:rPr>
          <w:rFonts w:ascii="Times New Roman" w:hAnsi="Times New Roman" w:cs="Times New Roman"/>
          <w:sz w:val="24"/>
          <w:szCs w:val="24"/>
        </w:rPr>
        <w:t xml:space="preserve"> from HKO, was to develop a risk-based storm surge forecast service for vulnerable coastal areas. Having covered the background (including two benefits), methodology (including two steps), highlighting the probabilistic storm surge prediction system featuring impacts, risk matrix as illustrated with a case study, he updated the latest progress with the system in trial, envisaging its future developments. Objective 6, which was presented by </w:t>
      </w:r>
      <w:r>
        <w:rPr>
          <w:rFonts w:ascii="Times New Roman" w:hAnsi="Times New Roman" w:cs="Times New Roman"/>
          <w:b/>
          <w:bCs/>
          <w:sz w:val="24"/>
          <w:szCs w:val="24"/>
        </w:rPr>
        <w:t xml:space="preserve">Mr. Wong Man Chi </w:t>
      </w:r>
      <w:r>
        <w:rPr>
          <w:rFonts w:ascii="Times New Roman" w:hAnsi="Times New Roman" w:cs="Times New Roman"/>
          <w:sz w:val="24"/>
          <w:szCs w:val="24"/>
        </w:rPr>
        <w:t xml:space="preserve">from SMG, was to optimize the flooding alert service to improve the effectiveness of disaster prevention and mitigation. Having given a snapshot of disasters prone in Macao, Man Chi dwelled on two goals identified under the objective: Automate flooding alert and make the public smart. According to him, the three enablers of automatic flooding alert, marking stickers, and forecast and warnings put together would eventually result in a smart flooding alert service. Objective 7, which was presented by </w:t>
      </w:r>
      <w:r>
        <w:rPr>
          <w:rFonts w:ascii="Times New Roman" w:hAnsi="Times New Roman" w:cs="Times New Roman"/>
          <w:b/>
          <w:bCs/>
          <w:sz w:val="24"/>
          <w:szCs w:val="24"/>
        </w:rPr>
        <w:t>Ms. Shuting ZHANG</w:t>
      </w:r>
      <w:r>
        <w:rPr>
          <w:rFonts w:ascii="Times New Roman" w:hAnsi="Times New Roman" w:cs="Times New Roman"/>
          <w:sz w:val="24"/>
          <w:szCs w:val="24"/>
        </w:rPr>
        <w:t>, CMA Shenzhen, was to summarize the PPE model of smart meteorological service community in mega-cities. Having elaborated on the aims of the objective, Shuting noted that all the lessons learnt from the other 6 objectives would be brought together under this objective – the PPE model to be showcased, replicated and scaled up. Another key word featuring this objective was IUS – Integrated Urban Services, which cut across other objectives. She further gave the timeline or roadmap for three expected deliverables.</w:t>
      </w:r>
    </w:p>
    <w:p>
      <w:pPr>
        <w:adjustRightInd w:val="0"/>
        <w:spacing w:line="360" w:lineRule="exact"/>
        <w:rPr>
          <w:rFonts w:ascii="Times New Roman" w:hAnsi="Times New Roman" w:cs="Times New Roman"/>
          <w:sz w:val="24"/>
          <w:szCs w:val="24"/>
        </w:rPr>
      </w:pPr>
    </w:p>
    <w:p>
      <w:pPr>
        <w:adjustRightInd w:val="0"/>
        <w:spacing w:line="360" w:lineRule="exact"/>
        <w:rPr>
          <w:rFonts w:ascii="Times New Roman" w:hAnsi="Times New Roman" w:eastAsia="宋体" w:cs="Times New Roman"/>
          <w:sz w:val="24"/>
          <w:szCs w:val="24"/>
        </w:rPr>
      </w:pPr>
      <w:r>
        <w:rPr>
          <w:rFonts w:ascii="Times New Roman" w:hAnsi="Times New Roman" w:cs="Times New Roman"/>
          <w:sz w:val="24"/>
          <w:szCs w:val="24"/>
        </w:rPr>
        <w:t xml:space="preserve">The ensuing group discussion was started by </w:t>
      </w:r>
      <w:r>
        <w:rPr>
          <w:rFonts w:ascii="Times New Roman" w:hAnsi="Times New Roman" w:cs="Times New Roman"/>
          <w:b/>
          <w:bCs/>
          <w:sz w:val="24"/>
          <w:szCs w:val="24"/>
        </w:rPr>
        <w:t>Dr. Kamaljit Ray</w:t>
      </w:r>
      <w:r>
        <w:rPr>
          <w:rFonts w:ascii="Times New Roman" w:hAnsi="Times New Roman" w:cs="Times New Roman"/>
          <w:sz w:val="24"/>
          <w:szCs w:val="24"/>
        </w:rPr>
        <w:t xml:space="preserve"> (Indian Meteorological Department), Vice Chair of RA II WG Services, who was impressed with the holistically well connected and planned project program. Her very concern was with the observations or data of high resolution for thunderstorm triggered events like a flash flood. She was wondering whether the Dopplar weather radar or AWS observations were going into the gridded data pool as well, a question that was responded by SMG. </w:t>
      </w:r>
      <w:r>
        <w:rPr>
          <w:rFonts w:ascii="Times New Roman" w:hAnsi="Times New Roman" w:cs="Times New Roman"/>
          <w:b/>
          <w:bCs/>
          <w:sz w:val="24"/>
          <w:szCs w:val="24"/>
        </w:rPr>
        <w:t>Dr. Tatsuya Kimura</w:t>
      </w:r>
      <w:r>
        <w:rPr>
          <w:rFonts w:ascii="Times New Roman" w:hAnsi="Times New Roman" w:cs="Times New Roman"/>
          <w:sz w:val="24"/>
          <w:szCs w:val="24"/>
        </w:rPr>
        <w:t>, Director</w:t>
      </w:r>
      <w:r>
        <w:rPr>
          <w:rFonts w:hint="eastAsia" w:ascii="Times New Roman" w:hAnsi="Times New Roman" w:cs="Times New Roman"/>
          <w:sz w:val="24"/>
          <w:szCs w:val="24"/>
          <w:lang w:val="en-US" w:eastAsia="zh-CN"/>
        </w:rPr>
        <w:t xml:space="preserve"> </w:t>
      </w:r>
      <w:r>
        <w:rPr>
          <w:rFonts w:ascii="Times New Roman" w:hAnsi="Times New Roman" w:cs="Times New Roman"/>
          <w:sz w:val="24"/>
          <w:szCs w:val="24"/>
        </w:rPr>
        <w:t xml:space="preserve">PPE Office WMO Secretariat, was also impressed with the well prepared and detailed presentations. PPE could be understood as a platform, dialogue or forum of a wide range of actors, academic and private in particular, hence of meaningful importance to RA II Members. In this sense, Tatsuya thought highly of the pilot project as a test-bed to demonstrate the powerful leverage of the PPE mechanism especially in terms of data proliferation. Additionally, Ms. Mingmei LI, Senior Engagement Officer, WMO PPE Office, went along with Tatsuya by arguing for the synergetic leverage of the private sector via PPE to bridge the data gap and deliver better services especially in the urban context. In addition to the two guidelines on PPE and IUS as presented, </w:t>
      </w:r>
      <w:r>
        <w:rPr>
          <w:rFonts w:ascii="Times New Roman" w:hAnsi="Times New Roman" w:cs="Times New Roman"/>
          <w:b/>
          <w:bCs/>
          <w:sz w:val="24"/>
          <w:szCs w:val="24"/>
        </w:rPr>
        <w:t>Mingmei</w:t>
      </w:r>
      <w:r>
        <w:rPr>
          <w:rFonts w:ascii="Times New Roman" w:hAnsi="Times New Roman" w:cs="Times New Roman"/>
          <w:sz w:val="24"/>
          <w:szCs w:val="24"/>
        </w:rPr>
        <w:t xml:space="preserve"> strongly recommended the reference to the recent White Paper on the Future of Weather and Climate Forecasting as an additional source of advice and guidance on the development of multi-stakeholder partnership for IUS and on the three deliverables under the PPE model in terms of institutional arrangement, quality assurance, and distinction of the roles of public and private service providers. Urban services were so highly sector-specific that private providers were much likely in a better position to tailor their delivery for their strength in connection, agility and customization. With a congratulatory note, </w:t>
      </w:r>
      <w:r>
        <w:rPr>
          <w:rFonts w:ascii="Times New Roman" w:hAnsi="Times New Roman" w:cs="Times New Roman"/>
          <w:b/>
          <w:bCs/>
          <w:sz w:val="24"/>
          <w:szCs w:val="24"/>
        </w:rPr>
        <w:t>Dr. Ben Churchill</w:t>
      </w:r>
      <w:r>
        <w:rPr>
          <w:rFonts w:ascii="Times New Roman" w:hAnsi="Times New Roman" w:cs="Times New Roman"/>
          <w:sz w:val="24"/>
          <w:szCs w:val="24"/>
        </w:rPr>
        <w:t xml:space="preserve">, Head, Regional Office for Asia and the South-West Pacific, was excited about the project for this and other regions as an opportunity to showcase the success of PPE. Having emphasized the value chain all the way to the end-users, Ben made a special mention of the inspiring Macao case on the uptake of weather information in all walks of life as exemplified with the impactful water marks and stickers thanks to the ongoing cultural and educational activities. With this in mind, he encouraged the team to look at how to measure the success of the project, with the reduced loss of lives and property being one of the indicators. Social sciences and education might be explored to actually monitor people’s understanding of the concept of impact. Selected Macao’s tips of reaching out to the general public, which were culturally universal, could be scaled up regionally and globally. </w:t>
      </w:r>
      <w:r>
        <w:rPr>
          <w:rFonts w:ascii="Times New Roman" w:hAnsi="Times New Roman" w:cs="Times New Roman"/>
          <w:b/>
          <w:bCs/>
          <w:sz w:val="24"/>
          <w:szCs w:val="24"/>
        </w:rPr>
        <w:t>Ms. Lijuan SHI</w:t>
      </w:r>
      <w:r>
        <w:rPr>
          <w:rFonts w:ascii="Times New Roman" w:hAnsi="Times New Roman" w:cs="Times New Roman"/>
          <w:sz w:val="24"/>
          <w:szCs w:val="24"/>
        </w:rPr>
        <w:t xml:space="preserve">, Vice Chair of WG Infrastructure RA II, recognized the project as a good start for the implementation of RA II Operating Plan (OP) and as a reference demonstrator on several fronts. Her WG could help in data observation and sharing, while RWC-Beijing and RWC-Tokyo in monitoring and incident management. </w:t>
      </w:r>
      <w:r>
        <w:rPr>
          <w:rFonts w:ascii="Times New Roman" w:hAnsi="Times New Roman" w:cs="Times New Roman"/>
          <w:b/>
          <w:bCs/>
          <w:sz w:val="24"/>
          <w:szCs w:val="24"/>
        </w:rPr>
        <w:t>Ms. Feng LIANG</w:t>
      </w:r>
      <w:r>
        <w:rPr>
          <w:rFonts w:ascii="Times New Roman" w:hAnsi="Times New Roman" w:cs="Times New Roman"/>
          <w:sz w:val="24"/>
          <w:szCs w:val="24"/>
        </w:rPr>
        <w:t>, Co-</w:t>
      </w:r>
      <w:r>
        <w:rPr>
          <w:rFonts w:hint="eastAsia" w:ascii="Times New Roman" w:hAnsi="Times New Roman" w:cs="Times New Roman"/>
          <w:sz w:val="24"/>
          <w:szCs w:val="24"/>
          <w:lang w:val="en-US" w:eastAsia="zh-CN"/>
        </w:rPr>
        <w:t>lead</w:t>
      </w:r>
      <w:r>
        <w:rPr>
          <w:rFonts w:ascii="Times New Roman" w:hAnsi="Times New Roman" w:cs="Times New Roman"/>
          <w:sz w:val="24"/>
          <w:szCs w:val="24"/>
        </w:rPr>
        <w:t xml:space="preserve">, Study Group on Integrated Urban Services/SERCOM, deemed the project as an opportunity to test how to improve urban services. In this sense, one thing was missing: ‘why to do’ beyond ‘what to do’ and ‘how to do’. So Feng suggested that a (gap) analysis report (on social and economic impact) be prepared (to measure progress, improvement and benefit by cycle) for each objective as an essential assessment component of the project in the lead up to the kick-off meeting scheduled for the next year. At this stage, </w:t>
      </w:r>
      <w:r>
        <w:rPr>
          <w:rFonts w:ascii="Times New Roman" w:hAnsi="Times New Roman" w:cs="Times New Roman"/>
          <w:b/>
          <w:bCs/>
          <w:sz w:val="24"/>
          <w:szCs w:val="24"/>
        </w:rPr>
        <w:t>Qingliang</w:t>
      </w:r>
      <w:r>
        <w:rPr>
          <w:rFonts w:ascii="Times New Roman" w:hAnsi="Times New Roman" w:cs="Times New Roman"/>
          <w:sz w:val="24"/>
          <w:szCs w:val="24"/>
        </w:rPr>
        <w:t xml:space="preserve"> added his comment by advising HKO and SMG to proceed with their assignments selectively by prioritizing the deliverables. After </w:t>
      </w:r>
      <w:r>
        <w:rPr>
          <w:rFonts w:ascii="Times New Roman" w:hAnsi="Times New Roman" w:cs="Times New Roman"/>
          <w:b/>
          <w:bCs/>
          <w:sz w:val="24"/>
          <w:szCs w:val="24"/>
        </w:rPr>
        <w:t>Xiaolin</w:t>
      </w:r>
      <w:r>
        <w:rPr>
          <w:rFonts w:ascii="Times New Roman" w:hAnsi="Times New Roman" w:cs="Times New Roman"/>
          <w:sz w:val="24"/>
          <w:szCs w:val="24"/>
        </w:rPr>
        <w:t xml:space="preserve"> reacted to the discussion by pledging her team to pursuing the suggestions, </w:t>
      </w:r>
      <w:r>
        <w:rPr>
          <w:rFonts w:ascii="Times New Roman" w:hAnsi="Times New Roman" w:cs="Times New Roman"/>
          <w:b/>
          <w:bCs/>
          <w:sz w:val="24"/>
          <w:szCs w:val="24"/>
        </w:rPr>
        <w:t>Qingliang</w:t>
      </w:r>
      <w:r>
        <w:rPr>
          <w:rFonts w:ascii="Times New Roman" w:hAnsi="Times New Roman" w:cs="Times New Roman"/>
          <w:sz w:val="24"/>
          <w:szCs w:val="24"/>
        </w:rPr>
        <w:t xml:space="preserve"> concluded this session.    </w:t>
      </w:r>
    </w:p>
    <w:p>
      <w:pPr>
        <w:adjustRightInd w:val="0"/>
        <w:spacing w:line="360" w:lineRule="exact"/>
        <w:rPr>
          <w:rFonts w:ascii="Times New Roman" w:hAnsi="Times New Roman" w:eastAsia="宋体" w:cs="Times New Roman"/>
          <w:sz w:val="24"/>
          <w:szCs w:val="24"/>
        </w:rPr>
      </w:pPr>
    </w:p>
    <w:p>
      <w:pPr>
        <w:adjustRightInd w:val="0"/>
        <w:spacing w:line="360" w:lineRule="exact"/>
        <w:rPr>
          <w:rFonts w:ascii="Times New Roman" w:hAnsi="Times New Roman" w:cs="Times New Roman"/>
          <w:sz w:val="24"/>
          <w:szCs w:val="24"/>
        </w:rPr>
      </w:pPr>
      <w:r>
        <w:rPr>
          <w:rFonts w:ascii="Times New Roman" w:hAnsi="Times New Roman" w:cs="Times New Roman"/>
          <w:b/>
          <w:sz w:val="24"/>
          <w:szCs w:val="24"/>
        </w:rPr>
        <w:t xml:space="preserve">Part III – Project Organization Structure, Implementation Activities and Timeline </w:t>
      </w:r>
    </w:p>
    <w:p>
      <w:pPr>
        <w:adjustRightInd w:val="0"/>
        <w:snapToGrid w:val="0"/>
        <w:spacing w:line="360" w:lineRule="exact"/>
        <w:rPr>
          <w:rFonts w:ascii="Times New Roman" w:hAnsi="Times New Roman" w:cs="Times New Roman"/>
          <w:sz w:val="24"/>
          <w:szCs w:val="24"/>
        </w:rPr>
      </w:pPr>
      <w:r>
        <w:rPr>
          <w:rFonts w:ascii="Times New Roman" w:hAnsi="Times New Roman" w:cs="Times New Roman"/>
          <w:sz w:val="24"/>
          <w:szCs w:val="24"/>
        </w:rPr>
        <w:t xml:space="preserve">Moderated by </w:t>
      </w:r>
      <w:r>
        <w:rPr>
          <w:rFonts w:ascii="Times New Roman" w:hAnsi="Times New Roman" w:cs="Times New Roman"/>
          <w:b/>
          <w:bCs/>
          <w:sz w:val="24"/>
          <w:szCs w:val="24"/>
        </w:rPr>
        <w:t>Mr. Jun YU</w:t>
      </w:r>
      <w:r>
        <w:rPr>
          <w:rFonts w:ascii="Times New Roman" w:hAnsi="Times New Roman" w:cs="Times New Roman"/>
          <w:sz w:val="24"/>
          <w:szCs w:val="24"/>
        </w:rPr>
        <w:t xml:space="preserve">, Regional Officer, RA II, this session began by hearing a presentation by Xiaolin on the initial design of the project stewardship as a blueprint for the panel brainstorming. According to her, the project management would consist of three bodies: Scientific Advisory Committee (SAC), Project Coordination Group (PCG) and Project Working Group (WG). She described their terms of reference (ToR) and memberships respectively. SAC was suggested to be co-chaired by Ms. Feng LIANG and Mr. Pak Wai CHAN and composed of other nine (9) members each for a domain of his/her expertise. PCG was suggested to be co-chaired by Mr. Ben Churchill and Ms. Mingmei LI and composed of other eight (8) members each as a leader of co-sponsorship. WG was suggested to be composed of members from CMA, HKO and SMG, and representatives from the partner and PPE community. She further briefed on the scheduled events in the coming years with an explanatory note on the implementation phase that would feature multiple participation and openness to all other RA II Members. Actions and events were also planned for the communication and outreach purpose. </w:t>
      </w:r>
    </w:p>
    <w:p>
      <w:pPr>
        <w:adjustRightInd w:val="0"/>
        <w:snapToGrid w:val="0"/>
        <w:spacing w:line="360" w:lineRule="exact"/>
        <w:rPr>
          <w:rFonts w:ascii="Times New Roman" w:hAnsi="Times New Roman" w:cs="Times New Roman"/>
          <w:sz w:val="24"/>
          <w:szCs w:val="24"/>
        </w:rPr>
      </w:pPr>
    </w:p>
    <w:p>
      <w:pPr>
        <w:adjustRightInd w:val="0"/>
        <w:snapToGrid w:val="0"/>
        <w:spacing w:line="360" w:lineRule="exact"/>
        <w:rPr>
          <w:rFonts w:ascii="Times New Roman" w:hAnsi="Times New Roman" w:cs="Times New Roman"/>
          <w:sz w:val="24"/>
          <w:szCs w:val="24"/>
        </w:rPr>
      </w:pPr>
      <w:r>
        <w:rPr>
          <w:rFonts w:ascii="Times New Roman" w:hAnsi="Times New Roman" w:cs="Times New Roman"/>
          <w:sz w:val="24"/>
          <w:szCs w:val="24"/>
        </w:rPr>
        <w:t xml:space="preserve">The presentation gave </w:t>
      </w:r>
      <w:r>
        <w:rPr>
          <w:rFonts w:ascii="Times New Roman" w:hAnsi="Times New Roman" w:cs="Times New Roman"/>
          <w:b/>
          <w:bCs/>
          <w:sz w:val="24"/>
          <w:szCs w:val="24"/>
        </w:rPr>
        <w:t>Ben</w:t>
      </w:r>
      <w:r>
        <w:rPr>
          <w:rFonts w:ascii="Times New Roman" w:hAnsi="Times New Roman" w:cs="Times New Roman"/>
          <w:sz w:val="24"/>
          <w:szCs w:val="24"/>
        </w:rPr>
        <w:t xml:space="preserve"> a clear idea of the working structure, in response to which he shared Jun’s belief that a good project called for a good design as well as a good direction and leadership at the same time. So he found the general framework of governance acceptable in principle, including his nomination as Co-chair of PCG. On the occasion, he indicated his keenness to have the project fit in the broad scheme of RA II OP, which was the Region’s opportunity to implement key recommendations of congress and EC but also focus on the regional priorities. The exciting inclusion of the project in the OP would help benefit the region as a whole and beyond. Another innovative product developed under the regional partnership strategy was to look for additional opportunities to engage the private sector. This pilot project was a good example to showcase how the partnership strategy approach could be effective. Given the vastness and diversity of the region, there was also a significant opportunity to focus on the social and economic benefit, where the key role of HNMHs would be highlighted to develop strong links and partnerships across many sectors. In terms of the clear and balanced composition, he noted the importance of having a strategic focus and always linking back to the key pillars in delivering the region’s reform since the OP was focused on delivering outcomes but also on measuring the performance. So it would be incumbent on PCG to continue the OP defined approach in delivering the project, with its progress monitored and reported, while ensuing its linking up with the global strategy of WMO and helping implement its partnership strategy. Ben’s remarks were passionately echoed by Jun. With a congratulatory note, </w:t>
      </w:r>
      <w:r>
        <w:rPr>
          <w:rFonts w:ascii="Times New Roman" w:hAnsi="Times New Roman" w:cs="Times New Roman"/>
          <w:b/>
          <w:bCs/>
          <w:sz w:val="24"/>
          <w:szCs w:val="24"/>
        </w:rPr>
        <w:t>Tatsuya</w:t>
      </w:r>
      <w:r>
        <w:rPr>
          <w:rFonts w:ascii="Times New Roman" w:hAnsi="Times New Roman" w:cs="Times New Roman"/>
          <w:sz w:val="24"/>
          <w:szCs w:val="24"/>
        </w:rPr>
        <w:t xml:space="preserve"> also found the first-ever PPE-based pilot project clearly structured in stewardship, with PCG reporting to the MG and WGs of RA II. The impl</w:t>
      </w:r>
      <w:r>
        <w:rPr>
          <w:rFonts w:hint="eastAsia" w:ascii="Times New Roman" w:hAnsi="Times New Roman" w:cs="Times New Roman"/>
          <w:sz w:val="24"/>
          <w:szCs w:val="24"/>
          <w:lang w:val="en-US" w:eastAsia="zh-CN"/>
        </w:rPr>
        <w:t>ementa</w:t>
      </w:r>
      <w:r>
        <w:rPr>
          <w:rFonts w:ascii="Times New Roman" w:hAnsi="Times New Roman" w:cs="Times New Roman"/>
          <w:sz w:val="24"/>
          <w:szCs w:val="24"/>
        </w:rPr>
        <w:t xml:space="preserve">tion plan would be prepared by Project WG as anticipated, the membership of which was kept open to the private sector, a key issue and a delightful and meaningful practice because many WMO Members were trying to learn from this precedence on how to involve and engage the private sector, in particular media, telecom and civil society for the unimpeded outreach and uptake of new information and services like gridded warning. He looked forward to early lessons and cases that would keep emerging from the ongoing project. Moreover, he agreed to the three-tiered structure, with SAC acting as an overseer, PCG a coordinator, and WG somewhat a secretariat or an implementation team. Tatsuya’s understanding of the governance was further clarified by Jun and seconded by Xiaolin. At this, </w:t>
      </w:r>
      <w:r>
        <w:rPr>
          <w:rFonts w:ascii="Times New Roman" w:hAnsi="Times New Roman" w:cs="Times New Roman"/>
          <w:b/>
          <w:bCs/>
          <w:sz w:val="24"/>
          <w:szCs w:val="24"/>
        </w:rPr>
        <w:t>Ben</w:t>
      </w:r>
      <w:r>
        <w:rPr>
          <w:rFonts w:ascii="Times New Roman" w:hAnsi="Times New Roman" w:cs="Times New Roman"/>
          <w:sz w:val="24"/>
          <w:szCs w:val="24"/>
        </w:rPr>
        <w:t xml:space="preserve"> once again reiterated his office’s strong interest in, close attention and full support and commitment to the project for its being a token of confirmation of the decision by RA II Members on a right structure for now and the future as well as for its being a test and improvement by segment of the new regional working mechanism to make it function as desired.</w:t>
      </w:r>
      <w:r>
        <w:rPr>
          <w:rFonts w:ascii="Times New Roman" w:hAnsi="Times New Roman" w:cs="Times New Roman"/>
          <w:b/>
          <w:bCs/>
          <w:sz w:val="24"/>
          <w:szCs w:val="24"/>
        </w:rPr>
        <w:t xml:space="preserve"> Feng</w:t>
      </w:r>
      <w:r>
        <w:rPr>
          <w:rFonts w:ascii="Times New Roman" w:hAnsi="Times New Roman" w:cs="Times New Roman"/>
          <w:sz w:val="24"/>
          <w:szCs w:val="24"/>
        </w:rPr>
        <w:t xml:space="preserve"> was grateful for the post of SAC Co-chair for the fact that she and her study group were both very interested in the project, a </w:t>
      </w:r>
      <w:r>
        <w:rPr>
          <w:rFonts w:hint="eastAsia" w:ascii="Times New Roman" w:hAnsi="Times New Roman" w:cs="Times New Roman"/>
          <w:sz w:val="24"/>
          <w:szCs w:val="24"/>
          <w:lang w:val="en-US" w:eastAsia="zh-CN"/>
        </w:rPr>
        <w:t xml:space="preserve">central </w:t>
      </w:r>
      <w:bookmarkStart w:id="1" w:name="_GoBack"/>
      <w:bookmarkEnd w:id="1"/>
      <w:r>
        <w:rPr>
          <w:rFonts w:ascii="Times New Roman" w:hAnsi="Times New Roman" w:cs="Times New Roman"/>
          <w:sz w:val="24"/>
          <w:szCs w:val="24"/>
        </w:rPr>
        <w:t xml:space="preserve">stage that would demonstrate the concept of IUS on the ground. Her suggestions on the organizational structure were the additional insertion of IUS to the ToS of SAC and the inclusion of an expert on social and economic assessment in WG. She requested that her nomination be confirmed by President of SERCOM, a communication that might lead to a joint pilot project. A shorter abbreviation was preferred for the project. The ‘weather and climate services’ should be reformulated into ‘integrated urban services’ or ‘hydo-meteorological and climate (or plus environmental) services’ since the current version was limited. Her pertinent contributions made Jun suggest to talk them over further offline. </w:t>
      </w:r>
      <w:r>
        <w:rPr>
          <w:rFonts w:ascii="Times New Roman" w:hAnsi="Times New Roman" w:cs="Times New Roman"/>
          <w:b/>
          <w:bCs/>
          <w:sz w:val="24"/>
          <w:szCs w:val="24"/>
        </w:rPr>
        <w:t>Mr. Yoshiaki SATO</w:t>
      </w:r>
      <w:r>
        <w:rPr>
          <w:rFonts w:ascii="Times New Roman" w:hAnsi="Times New Roman" w:cs="Times New Roman"/>
          <w:sz w:val="24"/>
          <w:szCs w:val="24"/>
        </w:rPr>
        <w:t xml:space="preserve">, WG Infrastructure, who was interested in and supportive of the project and was pleased to sit in SAC, was encouraged with its great progress. Yoshiaki believed that it would be a fruitful project to benefit many countries and cities. Like Yoshiaki, </w:t>
      </w:r>
      <w:r>
        <w:rPr>
          <w:rFonts w:ascii="Times New Roman" w:hAnsi="Times New Roman" w:cs="Times New Roman"/>
          <w:b/>
          <w:bCs/>
          <w:sz w:val="24"/>
          <w:szCs w:val="24"/>
        </w:rPr>
        <w:t>Qingliang</w:t>
      </w:r>
      <w:r>
        <w:rPr>
          <w:rFonts w:ascii="Times New Roman" w:hAnsi="Times New Roman" w:cs="Times New Roman"/>
          <w:sz w:val="24"/>
          <w:szCs w:val="24"/>
        </w:rPr>
        <w:t xml:space="preserve">, who was pleased to sit in SAC, also committed his WG’s support to the project. Having appreciated the articulated commitment by WGs at regional level and the likely commitment by SERCOM and INFCOM at global level - a pilot support model for the pilot project, and restated the necessity to pursue the full value chain across the cycle, </w:t>
      </w:r>
      <w:r>
        <w:rPr>
          <w:rFonts w:ascii="Times New Roman" w:hAnsi="Times New Roman" w:cs="Times New Roman"/>
          <w:b/>
          <w:bCs/>
          <w:sz w:val="24"/>
          <w:szCs w:val="24"/>
        </w:rPr>
        <w:t xml:space="preserve">Jun </w:t>
      </w:r>
      <w:r>
        <w:rPr>
          <w:rFonts w:ascii="Times New Roman" w:hAnsi="Times New Roman" w:cs="Times New Roman"/>
          <w:sz w:val="24"/>
          <w:szCs w:val="24"/>
        </w:rPr>
        <w:t xml:space="preserve">concluded this session with thanks, expectations and wishes.  </w:t>
      </w:r>
    </w:p>
    <w:p>
      <w:pPr>
        <w:adjustRightInd w:val="0"/>
        <w:snapToGrid w:val="0"/>
        <w:spacing w:line="360" w:lineRule="exact"/>
        <w:rPr>
          <w:rFonts w:ascii="Times New Roman" w:hAnsi="Times New Roman" w:cs="Times New Roman"/>
          <w:sz w:val="24"/>
          <w:szCs w:val="24"/>
        </w:rPr>
      </w:pPr>
    </w:p>
    <w:p>
      <w:pPr>
        <w:adjustRightInd w:val="0"/>
        <w:spacing w:line="360" w:lineRule="exact"/>
        <w:rPr>
          <w:rFonts w:ascii="Times New Roman" w:hAnsi="Times New Roman" w:cs="Times New Roman"/>
          <w:b/>
          <w:sz w:val="24"/>
          <w:szCs w:val="24"/>
        </w:rPr>
      </w:pPr>
      <w:r>
        <w:rPr>
          <w:rFonts w:ascii="Times New Roman" w:hAnsi="Times New Roman" w:cs="Times New Roman"/>
          <w:b/>
          <w:sz w:val="24"/>
          <w:szCs w:val="24"/>
        </w:rPr>
        <w:t>Part IV – Summary and Closure</w:t>
      </w:r>
    </w:p>
    <w:p>
      <w:pPr>
        <w:adjustRightInd w:val="0"/>
        <w:spacing w:line="360" w:lineRule="exact"/>
        <w:rPr>
          <w:rFonts w:ascii="Times New Roman" w:hAnsi="Times New Roman" w:cs="Times New Roman"/>
          <w:sz w:val="24"/>
          <w:szCs w:val="24"/>
        </w:rPr>
      </w:pPr>
      <w:r>
        <w:rPr>
          <w:rFonts w:ascii="Times New Roman" w:hAnsi="Times New Roman" w:cs="Times New Roman"/>
          <w:sz w:val="24"/>
          <w:szCs w:val="24"/>
        </w:rPr>
        <w:t xml:space="preserve">Taking advantage of his role as the moderator again, </w:t>
      </w:r>
      <w:r>
        <w:rPr>
          <w:rFonts w:ascii="Times New Roman" w:hAnsi="Times New Roman" w:cs="Times New Roman"/>
          <w:b/>
          <w:bCs/>
          <w:sz w:val="24"/>
          <w:szCs w:val="24"/>
        </w:rPr>
        <w:t>Qingliang</w:t>
      </w:r>
      <w:r>
        <w:rPr>
          <w:rFonts w:ascii="Times New Roman" w:hAnsi="Times New Roman" w:cs="Times New Roman"/>
          <w:sz w:val="24"/>
          <w:szCs w:val="24"/>
        </w:rPr>
        <w:t xml:space="preserve"> began the session by recapping some of the thrusts: data, candidate experts, the private sector and (recipient) education, with regard to which he requested the project team to prepare a summary of minutes of the meeting preferably within one week to be circulated to all the interested participants for a checkup before it was made final. Having recommitted his WG’s support, he gave the floor to the project team, on behalf of which</w:t>
      </w:r>
      <w:r>
        <w:rPr>
          <w:rFonts w:ascii="Times New Roman" w:hAnsi="Times New Roman" w:cs="Times New Roman"/>
          <w:b/>
          <w:bCs/>
          <w:sz w:val="24"/>
          <w:szCs w:val="24"/>
        </w:rPr>
        <w:t xml:space="preserve"> Xiaolin </w:t>
      </w:r>
      <w:r>
        <w:rPr>
          <w:rFonts w:ascii="Times New Roman" w:hAnsi="Times New Roman" w:cs="Times New Roman"/>
          <w:sz w:val="24"/>
          <w:szCs w:val="24"/>
        </w:rPr>
        <w:t xml:space="preserve">expressed her thanks for the valuable interventions and her readiness to take up the suggestions. Her team would spare no effort to coordinate the effective and efficient implementation of the cross-cutting project while multi-stakeholder support would be counted on as well. The impact of the PPE-based project would be felt far and wide in the coming three years thanks to the better performance of the project team and the stronger assistance from the project stakeholders. After a few remarks on the pledged contributions and expected benefits by HKO and SMG respectively, </w:t>
      </w:r>
      <w:r>
        <w:rPr>
          <w:rFonts w:ascii="Times New Roman" w:hAnsi="Times New Roman" w:cs="Times New Roman"/>
          <w:b/>
          <w:bCs/>
          <w:sz w:val="24"/>
          <w:szCs w:val="24"/>
        </w:rPr>
        <w:t>Xiaolin</w:t>
      </w:r>
      <w:r>
        <w:rPr>
          <w:rFonts w:ascii="Times New Roman" w:hAnsi="Times New Roman" w:cs="Times New Roman"/>
          <w:sz w:val="24"/>
          <w:szCs w:val="24"/>
        </w:rPr>
        <w:t xml:space="preserve"> closed the meeting with seasonal greetings at 18:30 Beijing time, 15 December 2021. </w:t>
      </w:r>
    </w:p>
    <w:p>
      <w:pPr>
        <w:adjustRightInd w:val="0"/>
        <w:spacing w:line="360" w:lineRule="exact"/>
        <w:rPr>
          <w:rFonts w:ascii="Times New Roman" w:hAnsi="Times New Roman" w:cs="Times New Roman"/>
          <w:sz w:val="24"/>
          <w:szCs w:val="24"/>
        </w:rPr>
      </w:pPr>
    </w:p>
    <w:p>
      <w:pPr>
        <w:rPr>
          <w:rFonts w:ascii="Arial" w:hAnsi="Arial" w:cs="Arial"/>
          <w:b/>
          <w:bCs/>
          <w:sz w:val="24"/>
          <w:szCs w:val="24"/>
          <w:lang w:val="en-US"/>
        </w:rPr>
      </w:pPr>
      <w:r>
        <w:rPr>
          <w:rFonts w:ascii="Arial" w:hAnsi="Arial" w:cs="Arial"/>
          <w:b/>
          <w:bCs/>
          <w:sz w:val="24"/>
          <w:szCs w:val="24"/>
          <w:lang w:val="en-US"/>
        </w:rPr>
        <w:t>Annex:</w:t>
      </w:r>
      <w:r>
        <w:rPr>
          <w:rFonts w:ascii="Arial" w:hAnsi="Arial" w:cs="Arial"/>
          <w:b/>
          <w:bCs/>
          <w:sz w:val="24"/>
          <w:szCs w:val="24"/>
        </w:rPr>
        <w:t xml:space="preserve"> List of participants</w:t>
      </w:r>
    </w:p>
    <w:p>
      <w:pPr>
        <w:numPr>
          <w:ilvl w:val="0"/>
          <w:numId w:val="2"/>
        </w:numPr>
        <w:snapToGrid w:val="0"/>
        <w:spacing w:after="0" w:line="24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rPr>
        <w:t xml:space="preserve">WMO </w:t>
      </w:r>
      <w:r>
        <w:rPr>
          <w:rFonts w:hint="default" w:ascii="Arial" w:hAnsi="Arial" w:eastAsia="宋体" w:cs="Arial"/>
          <w:b/>
          <w:bCs/>
          <w:sz w:val="32"/>
          <w:szCs w:val="32"/>
          <w:lang w:val="en-US" w:eastAsia="zh-CN"/>
        </w:rPr>
        <w:t>Secretariat representatives</w:t>
      </w:r>
    </w:p>
    <w:tbl>
      <w:tblPr>
        <w:tblStyle w:val="7"/>
        <w:tblW w:w="84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122"/>
        <w:gridCol w:w="63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Name</w:t>
            </w:r>
          </w:p>
        </w:tc>
        <w:tc>
          <w:tcPr>
            <w:tcW w:w="6350"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Title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l2br w:val="nil"/>
              <w:tr2bl w:val="nil"/>
            </w:tcBorders>
            <w:noWrap w:val="0"/>
            <w:vAlign w:val="center"/>
          </w:tcPr>
          <w:p>
            <w:pPr>
              <w:snapToGrid w:val="0"/>
              <w:spacing w:after="0" w:line="360" w:lineRule="auto"/>
              <w:jc w:val="both"/>
              <w:rPr>
                <w:rFonts w:hint="default" w:ascii="Arial" w:hAnsi="Arial" w:eastAsia="等线" w:cs="Arial"/>
                <w:sz w:val="32"/>
                <w:szCs w:val="32"/>
                <w:lang w:val="en-US" w:eastAsia="zh-CN"/>
              </w:rPr>
            </w:pPr>
            <w:r>
              <w:rPr>
                <w:rFonts w:hint="default" w:ascii="Arial" w:hAnsi="Arial" w:eastAsia="等线" w:cs="Arial"/>
                <w:lang w:val="en-US"/>
              </w:rPr>
              <w:t>Wenjian Z</w:t>
            </w:r>
            <w:r>
              <w:rPr>
                <w:rFonts w:hint="default" w:ascii="Arial" w:hAnsi="Arial" w:eastAsia="等线" w:cs="Arial"/>
                <w:lang w:val="en-US" w:eastAsia="zh-CN"/>
              </w:rPr>
              <w:t>HANG</w:t>
            </w:r>
          </w:p>
        </w:tc>
        <w:tc>
          <w:tcPr>
            <w:tcW w:w="6350"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rPr>
            </w:pPr>
            <w:r>
              <w:rPr>
                <w:rFonts w:hint="default" w:ascii="Arial" w:hAnsi="Arial" w:eastAsia="等线" w:cs="Arial"/>
                <w:lang w:val="en-US"/>
              </w:rPr>
              <w:t>Assistant Secretary-General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l2br w:val="nil"/>
              <w:tr2bl w:val="nil"/>
            </w:tcBorders>
            <w:noWrap w:val="0"/>
            <w:vAlign w:val="center"/>
          </w:tcPr>
          <w:p>
            <w:pPr>
              <w:snapToGrid w:val="0"/>
              <w:spacing w:after="0" w:line="360" w:lineRule="auto"/>
              <w:jc w:val="both"/>
              <w:rPr>
                <w:rFonts w:hint="default" w:ascii="Arial" w:hAnsi="Arial" w:eastAsia="宋体" w:cs="Arial"/>
                <w:sz w:val="32"/>
                <w:szCs w:val="32"/>
                <w:lang w:val="en-US"/>
              </w:rPr>
            </w:pPr>
            <w:r>
              <w:rPr>
                <w:rFonts w:hint="default" w:ascii="Arial" w:hAnsi="Arial" w:eastAsia="等线" w:cs="Arial"/>
                <w:lang w:val="en-US"/>
              </w:rPr>
              <w:t>Tatsuya Kimura</w:t>
            </w:r>
          </w:p>
        </w:tc>
        <w:tc>
          <w:tcPr>
            <w:tcW w:w="6350" w:type="dxa"/>
            <w:tcBorders>
              <w:tl2br w:val="nil"/>
              <w:tr2bl w:val="nil"/>
            </w:tcBorders>
            <w:noWrap w:val="0"/>
            <w:vAlign w:val="top"/>
          </w:tcPr>
          <w:p>
            <w:pPr>
              <w:snapToGrid w:val="0"/>
              <w:spacing w:after="0" w:line="360" w:lineRule="auto"/>
              <w:rPr>
                <w:rFonts w:hint="default" w:ascii="Arial" w:hAnsi="Arial" w:eastAsia="宋体" w:cs="Arial"/>
                <w:sz w:val="32"/>
                <w:szCs w:val="32"/>
                <w:lang w:val="en-US"/>
              </w:rPr>
            </w:pPr>
            <w:r>
              <w:rPr>
                <w:rFonts w:hint="default" w:ascii="Arial" w:hAnsi="Arial" w:eastAsia="等线" w:cs="Arial"/>
                <w:lang w:val="en-US"/>
              </w:rPr>
              <w:t>Director, Public-Private Engagement Office (PPE)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l2br w:val="nil"/>
              <w:tr2bl w:val="nil"/>
            </w:tcBorders>
            <w:noWrap w:val="0"/>
            <w:vAlign w:val="center"/>
          </w:tcPr>
          <w:p>
            <w:pPr>
              <w:snapToGrid w:val="0"/>
              <w:spacing w:after="0" w:line="360" w:lineRule="auto"/>
              <w:jc w:val="both"/>
              <w:rPr>
                <w:rFonts w:hint="default" w:ascii="Arial" w:hAnsi="Arial" w:eastAsia="宋体" w:cs="Arial"/>
                <w:color w:val="auto"/>
                <w:sz w:val="32"/>
                <w:szCs w:val="32"/>
                <w:lang w:val="en-US"/>
              </w:rPr>
            </w:pPr>
            <w:r>
              <w:rPr>
                <w:rFonts w:hint="default" w:ascii="Arial" w:hAnsi="Arial" w:eastAsia="等线" w:cs="Arial"/>
                <w:lang w:val="en-US"/>
              </w:rPr>
              <w:t>Ben Churchill</w:t>
            </w:r>
          </w:p>
        </w:tc>
        <w:tc>
          <w:tcPr>
            <w:tcW w:w="6350" w:type="dxa"/>
            <w:tcBorders>
              <w:tl2br w:val="nil"/>
              <w:tr2bl w:val="nil"/>
            </w:tcBorders>
            <w:noWrap w:val="0"/>
            <w:vAlign w:val="top"/>
          </w:tcPr>
          <w:p>
            <w:pPr>
              <w:snapToGrid w:val="0"/>
              <w:spacing w:after="0" w:line="360" w:lineRule="auto"/>
              <w:rPr>
                <w:rFonts w:hint="default" w:ascii="Arial" w:hAnsi="Arial" w:eastAsia="等线" w:cs="Arial"/>
                <w:color w:val="auto"/>
                <w:sz w:val="32"/>
                <w:szCs w:val="32"/>
                <w:lang w:val="en-US" w:eastAsia="zh-CN"/>
              </w:rPr>
            </w:pPr>
            <w:r>
              <w:rPr>
                <w:rFonts w:hint="default" w:ascii="Arial" w:hAnsi="Arial" w:eastAsia="等线" w:cs="Arial"/>
                <w:lang w:val="en-US"/>
              </w:rPr>
              <w:t xml:space="preserve">Head, Regional Office for Asia and the South-West Pacific </w:t>
            </w:r>
            <w:r>
              <w:rPr>
                <w:rFonts w:hint="default" w:ascii="Arial" w:hAnsi="Arial" w:eastAsia="等线" w:cs="Arial"/>
                <w:lang w:val="en-US" w:eastAsia="zh-CN"/>
              </w:rPr>
              <w:t>(RAP)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l2br w:val="nil"/>
              <w:tr2bl w:val="nil"/>
            </w:tcBorders>
            <w:noWrap w:val="0"/>
            <w:vAlign w:val="center"/>
          </w:tcPr>
          <w:p>
            <w:pPr>
              <w:snapToGrid w:val="0"/>
              <w:spacing w:after="0" w:line="360" w:lineRule="auto"/>
              <w:jc w:val="both"/>
              <w:rPr>
                <w:rFonts w:hint="default" w:ascii="Arial" w:hAnsi="Arial" w:eastAsia="等线" w:cs="Arial"/>
                <w:lang w:val="en-US" w:eastAsia="zh-CN"/>
              </w:rPr>
            </w:pPr>
            <w:r>
              <w:rPr>
                <w:rFonts w:hint="default" w:ascii="Arial" w:hAnsi="Arial" w:eastAsia="等线" w:cs="Arial"/>
                <w:lang w:val="en-US"/>
              </w:rPr>
              <w:t>Mingmei</w:t>
            </w:r>
            <w:r>
              <w:rPr>
                <w:rFonts w:hint="default" w:ascii="Arial" w:hAnsi="Arial" w:eastAsia="等线" w:cs="Arial"/>
                <w:lang w:val="en-US" w:eastAsia="zh-CN"/>
              </w:rPr>
              <w:t xml:space="preserve"> </w:t>
            </w:r>
            <w:r>
              <w:rPr>
                <w:rFonts w:hint="default" w:ascii="Arial" w:hAnsi="Arial" w:eastAsia="等线" w:cs="Arial"/>
                <w:lang w:val="en-US"/>
              </w:rPr>
              <w:t>L</w:t>
            </w:r>
            <w:r>
              <w:rPr>
                <w:rFonts w:hint="default" w:ascii="Arial" w:hAnsi="Arial" w:eastAsia="等线" w:cs="Arial"/>
                <w:lang w:val="en-US" w:eastAsia="zh-CN"/>
              </w:rPr>
              <w:t>I</w:t>
            </w:r>
          </w:p>
        </w:tc>
        <w:tc>
          <w:tcPr>
            <w:tcW w:w="6350" w:type="dxa"/>
            <w:tcBorders>
              <w:tl2br w:val="nil"/>
              <w:tr2bl w:val="nil"/>
            </w:tcBorders>
            <w:noWrap w:val="0"/>
            <w:vAlign w:val="top"/>
          </w:tcPr>
          <w:p>
            <w:pPr>
              <w:snapToGrid w:val="0"/>
              <w:spacing w:after="0" w:line="360" w:lineRule="auto"/>
              <w:rPr>
                <w:rFonts w:hint="default" w:ascii="Arial" w:hAnsi="Arial" w:eastAsia="等线" w:cs="Arial"/>
                <w:lang w:val="en-US"/>
              </w:rPr>
            </w:pPr>
            <w:r>
              <w:rPr>
                <w:rFonts w:hint="default" w:ascii="Arial" w:hAnsi="Arial" w:eastAsia="等线" w:cs="Arial"/>
                <w:lang w:val="en-US"/>
              </w:rPr>
              <w:t>Senior Engagement Officer, PPE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22" w:type="dxa"/>
            <w:tcBorders>
              <w:tl2br w:val="nil"/>
              <w:tr2bl w:val="nil"/>
            </w:tcBorders>
            <w:noWrap w:val="0"/>
            <w:vAlign w:val="center"/>
          </w:tcPr>
          <w:p>
            <w:pPr>
              <w:snapToGrid w:val="0"/>
              <w:spacing w:after="0" w:line="360" w:lineRule="auto"/>
              <w:jc w:val="both"/>
              <w:rPr>
                <w:rFonts w:hint="default" w:ascii="Arial" w:hAnsi="Arial" w:eastAsia="等线" w:cs="Arial"/>
                <w:lang w:val="en-US" w:eastAsia="zh-CN"/>
              </w:rPr>
            </w:pPr>
            <w:r>
              <w:rPr>
                <w:rFonts w:hint="default" w:ascii="Arial" w:hAnsi="Arial" w:eastAsia="等线" w:cs="Arial"/>
                <w:lang w:val="en-US"/>
              </w:rPr>
              <w:t>Jun Y</w:t>
            </w:r>
            <w:r>
              <w:rPr>
                <w:rFonts w:hint="default" w:ascii="Arial" w:hAnsi="Arial" w:eastAsia="等线" w:cs="Arial"/>
                <w:lang w:val="en-US" w:eastAsia="zh-CN"/>
              </w:rPr>
              <w:t>U</w:t>
            </w:r>
          </w:p>
        </w:tc>
        <w:tc>
          <w:tcPr>
            <w:tcW w:w="6350"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Regional Officer, RA</w:t>
            </w:r>
            <w:r>
              <w:rPr>
                <w:rFonts w:hint="default" w:ascii="Arial" w:hAnsi="Arial" w:eastAsia="等线" w:cs="Arial"/>
                <w:lang w:val="en-US" w:eastAsia="zh-CN"/>
              </w:rPr>
              <w:t>P</w:t>
            </w:r>
          </w:p>
        </w:tc>
      </w:tr>
    </w:tbl>
    <w:p>
      <w:pPr>
        <w:snapToGrid w:val="0"/>
        <w:spacing w:after="0" w:line="240" w:lineRule="auto"/>
        <w:rPr>
          <w:rFonts w:hint="default" w:ascii="Arial" w:hAnsi="Arial" w:eastAsia="等线" w:cs="Arial"/>
          <w:sz w:val="32"/>
          <w:szCs w:val="32"/>
          <w:lang w:val="en-US" w:eastAsia="zh-CN"/>
        </w:rPr>
      </w:pPr>
    </w:p>
    <w:p>
      <w:pPr>
        <w:numPr>
          <w:ilvl w:val="0"/>
          <w:numId w:val="2"/>
        </w:numPr>
        <w:snapToGrid w:val="0"/>
        <w:spacing w:after="0" w:line="240" w:lineRule="auto"/>
        <w:ind w:left="0" w:leftChars="0" w:firstLine="0" w:firstLineChars="0"/>
        <w:rPr>
          <w:rFonts w:hint="default" w:ascii="Arial" w:hAnsi="Arial" w:eastAsia="宋体" w:cs="Arial"/>
          <w:b/>
          <w:bCs/>
          <w:sz w:val="32"/>
          <w:szCs w:val="32"/>
          <w:lang w:val="en-US" w:eastAsia="zh-CN"/>
        </w:rPr>
      </w:pPr>
      <w:r>
        <w:rPr>
          <w:rFonts w:hint="default" w:ascii="Arial" w:hAnsi="Arial" w:eastAsia="宋体" w:cs="Arial"/>
          <w:b/>
          <w:bCs/>
          <w:sz w:val="32"/>
          <w:szCs w:val="32"/>
          <w:lang w:val="en-US"/>
        </w:rPr>
        <w:t>WMO</w:t>
      </w:r>
      <w:r>
        <w:rPr>
          <w:rFonts w:hint="default" w:ascii="Arial" w:hAnsi="Arial" w:eastAsia="宋体" w:cs="Arial"/>
          <w:b/>
          <w:bCs/>
          <w:sz w:val="32"/>
          <w:szCs w:val="32"/>
          <w:lang w:val="en-US" w:eastAsia="zh-CN"/>
        </w:rPr>
        <w:t xml:space="preserve"> RAII Working Group</w:t>
      </w:r>
    </w:p>
    <w:tbl>
      <w:tblPr>
        <w:tblStyle w:val="7"/>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40"/>
        <w:gridCol w:w="3639"/>
        <w:gridCol w:w="20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Name</w:t>
            </w:r>
          </w:p>
        </w:tc>
        <w:tc>
          <w:tcPr>
            <w:tcW w:w="3639"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Title</w:t>
            </w:r>
          </w:p>
        </w:tc>
        <w:tc>
          <w:tcPr>
            <w:tcW w:w="2043"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Member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Qingliang ZHOU</w:t>
            </w:r>
          </w:p>
        </w:tc>
        <w:tc>
          <w:tcPr>
            <w:tcW w:w="3639" w:type="dxa"/>
            <w:tcBorders>
              <w:tl2br w:val="nil"/>
              <w:tr2bl w:val="nil"/>
            </w:tcBorders>
            <w:noWrap w:val="0"/>
            <w:vAlign w:val="top"/>
          </w:tcPr>
          <w:p>
            <w:pPr>
              <w:snapToGrid w:val="0"/>
              <w:spacing w:after="0" w:line="360" w:lineRule="auto"/>
              <w:rPr>
                <w:rFonts w:hint="default" w:ascii="Arial" w:hAnsi="Arial" w:eastAsia="等线" w:cs="Arial"/>
                <w:lang w:val="en-SG" w:eastAsia="zh-CN"/>
              </w:rPr>
            </w:pPr>
            <w:r>
              <w:rPr>
                <w:rFonts w:hint="default" w:ascii="Arial" w:hAnsi="Arial" w:eastAsia="等线" w:cs="Arial"/>
                <w:lang w:val="en-US" w:eastAsia="zh-CN"/>
              </w:rPr>
              <w:t xml:space="preserve">Chair of WG Services </w:t>
            </w:r>
          </w:p>
        </w:tc>
        <w:tc>
          <w:tcPr>
            <w:tcW w:w="2043"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Dr Kamaljit RAY</w:t>
            </w:r>
          </w:p>
        </w:tc>
        <w:tc>
          <w:tcPr>
            <w:tcW w:w="3639"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Vice chair of WG Services</w:t>
            </w:r>
          </w:p>
        </w:tc>
        <w:tc>
          <w:tcPr>
            <w:tcW w:w="2043"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India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KYODA Masayuki</w:t>
            </w:r>
          </w:p>
        </w:tc>
        <w:tc>
          <w:tcPr>
            <w:tcW w:w="3639"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Vice Chair of WG Services</w:t>
            </w:r>
          </w:p>
        </w:tc>
        <w:tc>
          <w:tcPr>
            <w:tcW w:w="2043"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Japan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noWrap w:val="0"/>
            <w:vAlign w:val="center"/>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SATO Yoshiaki</w:t>
            </w:r>
          </w:p>
        </w:tc>
        <w:tc>
          <w:tcPr>
            <w:tcW w:w="3639"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Chair of WG Infrastructure</w:t>
            </w:r>
          </w:p>
        </w:tc>
        <w:tc>
          <w:tcPr>
            <w:tcW w:w="2043"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Japan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Ms SHI Lijuan</w:t>
            </w:r>
          </w:p>
        </w:tc>
        <w:tc>
          <w:tcPr>
            <w:tcW w:w="3639"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Vice chair of WG Infrastructure</w:t>
            </w:r>
          </w:p>
        </w:tc>
        <w:tc>
          <w:tcPr>
            <w:tcW w:w="2043"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rPr>
              <w:t>China</w:t>
            </w:r>
          </w:p>
        </w:tc>
      </w:tr>
    </w:tbl>
    <w:p>
      <w:pPr>
        <w:snapToGrid w:val="0"/>
        <w:spacing w:after="0" w:line="240" w:lineRule="auto"/>
        <w:rPr>
          <w:rFonts w:hint="default" w:ascii="Arial" w:hAnsi="Arial" w:eastAsia="等线" w:cs="Arial"/>
          <w:lang w:val="en-US"/>
        </w:rPr>
      </w:pPr>
    </w:p>
    <w:p>
      <w:pPr>
        <w:numPr>
          <w:ilvl w:val="0"/>
          <w:numId w:val="2"/>
        </w:numPr>
        <w:snapToGrid w:val="0"/>
        <w:spacing w:after="0" w:line="240" w:lineRule="auto"/>
        <w:ind w:left="0" w:leftChars="0" w:firstLine="0" w:firstLineChars="0"/>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W</w:t>
      </w:r>
      <w:r>
        <w:rPr>
          <w:rFonts w:hint="default" w:ascii="Arial" w:hAnsi="Arial" w:eastAsia="宋体" w:cs="Arial"/>
          <w:b/>
          <w:bCs/>
          <w:sz w:val="32"/>
          <w:szCs w:val="32"/>
          <w:lang w:val="en-US"/>
        </w:rPr>
        <w:t>MO</w:t>
      </w:r>
      <w:r>
        <w:rPr>
          <w:rFonts w:hint="default" w:ascii="Arial" w:hAnsi="Arial" w:eastAsia="宋体" w:cs="Arial"/>
          <w:b/>
          <w:bCs/>
          <w:sz w:val="32"/>
          <w:szCs w:val="32"/>
          <w:lang w:val="en-US" w:eastAsia="zh-CN"/>
        </w:rPr>
        <w:t xml:space="preserve"> </w:t>
      </w:r>
      <w:r>
        <w:rPr>
          <w:rFonts w:hint="default" w:ascii="Arial" w:hAnsi="Arial" w:eastAsia="宋体" w:cs="Arial"/>
          <w:b/>
          <w:bCs/>
          <w:sz w:val="32"/>
          <w:szCs w:val="32"/>
          <w:lang w:val="en-US"/>
        </w:rPr>
        <w:t>technical commissions</w:t>
      </w:r>
      <w:r>
        <w:rPr>
          <w:rFonts w:hint="default" w:ascii="Arial" w:hAnsi="Arial" w:eastAsia="宋体" w:cs="Arial"/>
          <w:b/>
          <w:bCs/>
          <w:sz w:val="32"/>
          <w:szCs w:val="32"/>
          <w:lang w:val="en-US" w:eastAsia="zh-CN"/>
        </w:rPr>
        <w:t xml:space="preserve"> and </w:t>
      </w:r>
      <w:r>
        <w:rPr>
          <w:rFonts w:hint="default" w:ascii="Arial" w:hAnsi="Arial" w:eastAsia="宋体" w:cs="Arial"/>
          <w:b/>
          <w:bCs/>
          <w:sz w:val="32"/>
          <w:szCs w:val="32"/>
          <w:lang w:val="en-US"/>
        </w:rPr>
        <w:t>the Research Board</w:t>
      </w:r>
    </w:p>
    <w:tbl>
      <w:tblPr>
        <w:tblStyle w:val="7"/>
        <w:tblW w:w="84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9"/>
        <w:gridCol w:w="66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Name</w:t>
            </w:r>
          </w:p>
        </w:tc>
        <w:tc>
          <w:tcPr>
            <w:tcW w:w="6663"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Title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top"/>
          </w:tcPr>
          <w:p>
            <w:pPr>
              <w:snapToGrid w:val="0"/>
              <w:spacing w:after="0" w:line="360" w:lineRule="auto"/>
              <w:rPr>
                <w:rFonts w:hint="default" w:ascii="Arial" w:hAnsi="Arial" w:eastAsia="等线" w:cs="Arial"/>
                <w:lang w:val="en-US" w:eastAsia="zh-CN"/>
              </w:rPr>
            </w:pPr>
            <w:r>
              <w:rPr>
                <w:rFonts w:hint="default" w:ascii="Arial" w:hAnsi="Arial" w:eastAsia="等线" w:cs="Arial"/>
                <w:lang w:val="en-US" w:eastAsia="zh-CN"/>
              </w:rPr>
              <w:t>Feng LIANG</w:t>
            </w:r>
          </w:p>
        </w:tc>
        <w:tc>
          <w:tcPr>
            <w:tcW w:w="6663" w:type="dxa"/>
            <w:tcBorders>
              <w:tl2br w:val="nil"/>
              <w:tr2bl w:val="nil"/>
            </w:tcBorders>
            <w:noWrap w:val="0"/>
            <w:vAlign w:val="top"/>
          </w:tcPr>
          <w:p>
            <w:pPr>
              <w:snapToGrid w:val="0"/>
              <w:spacing w:after="0" w:line="360" w:lineRule="auto"/>
              <w:rPr>
                <w:rFonts w:hint="default" w:ascii="Arial" w:hAnsi="Arial" w:eastAsia="等线" w:cs="Arial"/>
                <w:lang w:val="en-SG"/>
              </w:rPr>
            </w:pPr>
            <w:r>
              <w:rPr>
                <w:rFonts w:hint="default" w:ascii="Arial" w:hAnsi="Arial" w:eastAsia="等线" w:cs="Arial"/>
                <w:lang w:val="en-US"/>
              </w:rPr>
              <w:t>Co-</w:t>
            </w:r>
            <w:r>
              <w:rPr>
                <w:rFonts w:hint="default" w:ascii="Arial" w:hAnsi="Arial" w:eastAsia="等线" w:cs="Arial"/>
                <w:lang w:val="en-US" w:eastAsia="zh-CN"/>
              </w:rPr>
              <w:t>Chair</w:t>
            </w:r>
            <w:r>
              <w:rPr>
                <w:rFonts w:hint="default" w:ascii="Arial" w:hAnsi="Arial" w:eastAsia="等线" w:cs="Arial"/>
                <w:lang w:val="en-US"/>
              </w:rPr>
              <w:t>, Study Group on Integrated Urban Services/SERCOM</w:t>
            </w:r>
          </w:p>
        </w:tc>
      </w:tr>
    </w:tbl>
    <w:p>
      <w:pPr>
        <w:snapToGrid w:val="0"/>
        <w:spacing w:after="0" w:line="240" w:lineRule="auto"/>
        <w:rPr>
          <w:rFonts w:hint="default" w:ascii="Arial" w:hAnsi="Arial" w:eastAsia="宋体" w:cs="Arial"/>
          <w:b/>
          <w:bCs/>
          <w:sz w:val="32"/>
          <w:szCs w:val="32"/>
          <w:lang w:val="en-US"/>
        </w:rPr>
      </w:pPr>
    </w:p>
    <w:p>
      <w:pPr>
        <w:numPr>
          <w:ilvl w:val="0"/>
          <w:numId w:val="3"/>
        </w:numPr>
        <w:snapToGrid w:val="0"/>
        <w:spacing w:after="0" w:line="240" w:lineRule="auto"/>
        <w:rPr>
          <w:rFonts w:hint="default" w:ascii="Arial" w:hAnsi="Arial" w:eastAsia="宋体" w:cs="Arial"/>
          <w:b/>
          <w:bCs/>
          <w:sz w:val="32"/>
          <w:szCs w:val="32"/>
          <w:lang w:val="en-US" w:eastAsia="zh-CN"/>
        </w:rPr>
      </w:pPr>
      <w:r>
        <w:rPr>
          <w:rFonts w:hint="default" w:ascii="Arial" w:hAnsi="Arial" w:eastAsia="宋体" w:cs="Arial"/>
          <w:b/>
          <w:bCs/>
          <w:sz w:val="32"/>
          <w:szCs w:val="32"/>
          <w:lang w:val="en-US" w:eastAsia="zh-CN"/>
        </w:rPr>
        <w:t xml:space="preserve"> Project members</w:t>
      </w:r>
    </w:p>
    <w:tbl>
      <w:tblPr>
        <w:tblStyle w:val="7"/>
        <w:tblW w:w="84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9"/>
        <w:gridCol w:w="66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rPr>
            </w:pPr>
            <w:r>
              <w:rPr>
                <w:rFonts w:hint="default" w:ascii="Arial" w:hAnsi="Arial" w:eastAsia="宋体" w:cs="Arial"/>
                <w:b/>
                <w:bCs/>
                <w:sz w:val="32"/>
                <w:szCs w:val="32"/>
                <w:lang w:val="en-US" w:eastAsia="zh-CN"/>
              </w:rPr>
              <w:t>Name</w:t>
            </w:r>
          </w:p>
        </w:tc>
        <w:tc>
          <w:tcPr>
            <w:tcW w:w="6663"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rPr>
            </w:pPr>
            <w:r>
              <w:rPr>
                <w:rFonts w:hint="default" w:ascii="Arial" w:hAnsi="Arial" w:eastAsia="宋体" w:cs="Arial"/>
                <w:b/>
                <w:bCs/>
                <w:sz w:val="32"/>
                <w:szCs w:val="32"/>
                <w:lang w:val="en-US" w:eastAsia="zh-CN"/>
              </w:rPr>
              <w:t>Title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eastAsia" w:ascii="Arial" w:hAnsi="Arial" w:eastAsia="宋体" w:cs="Arial"/>
                <w:b/>
                <w:bCs/>
                <w:sz w:val="32"/>
                <w:szCs w:val="32"/>
                <w:lang w:val="en-US" w:eastAsia="zh-CN"/>
              </w:rPr>
              <w:t>CMA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宋体" w:cs="Arial"/>
                <w:lang w:val="en-US" w:eastAsia="zh-CN"/>
              </w:rPr>
              <w:t>Xu XiangHua</w:t>
            </w:r>
          </w:p>
        </w:tc>
        <w:tc>
          <w:tcPr>
            <w:tcW w:w="6663" w:type="dxa"/>
            <w:tcBorders>
              <w:tl2br w:val="nil"/>
              <w:tr2bl w:val="nil"/>
            </w:tcBorders>
            <w:noWrap w:val="0"/>
            <w:vAlign w:val="top"/>
          </w:tcPr>
          <w:p>
            <w:pPr>
              <w:snapToGrid w:val="0"/>
              <w:spacing w:after="0" w:line="360" w:lineRule="auto"/>
              <w:rPr>
                <w:rFonts w:hint="default" w:ascii="Arial" w:hAnsi="Arial" w:eastAsia="宋体" w:cs="Arial"/>
                <w:b/>
                <w:bCs/>
                <w:sz w:val="32"/>
                <w:szCs w:val="32"/>
                <w:lang w:val="en-US" w:eastAsia="zh-CN"/>
              </w:rPr>
            </w:pPr>
            <w:r>
              <w:rPr>
                <w:rFonts w:hint="default" w:ascii="Arial" w:hAnsi="Arial" w:eastAsia="MS Mincho" w:cs="Arial"/>
                <w:lang w:val="en-US"/>
              </w:rPr>
              <w:t xml:space="preserve">Deputy </w:t>
            </w:r>
            <w:r>
              <w:rPr>
                <w:rFonts w:hint="default" w:ascii="Arial" w:hAnsi="Arial" w:eastAsia="宋体" w:cs="Arial"/>
                <w:lang w:val="en-US" w:eastAsia="zh-CN"/>
              </w:rPr>
              <w:t>Direct General</w:t>
            </w:r>
            <w:r>
              <w:rPr>
                <w:rFonts w:hint="default" w:ascii="Arial" w:hAnsi="Arial" w:eastAsia="MS Mincho" w:cs="Arial"/>
                <w:lang w:val="en-US"/>
              </w:rPr>
              <w:t>, International Cooperation Department, CMA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lang w:val="en-US" w:eastAsia="zh-CN"/>
              </w:rPr>
            </w:pPr>
            <w:r>
              <w:rPr>
                <w:rFonts w:hint="default" w:ascii="Arial" w:hAnsi="Arial" w:eastAsia="宋体" w:cs="Arial"/>
                <w:lang w:val="en-US" w:eastAsia="zh-CN"/>
              </w:rPr>
              <w:t>Yanqing WANG</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rPr>
            </w:pPr>
            <w:r>
              <w:rPr>
                <w:rFonts w:hint="default" w:ascii="Arial" w:hAnsi="Arial" w:eastAsia="宋体" w:cs="Arial"/>
                <w:lang w:val="en-US" w:eastAsia="zh-CN"/>
              </w:rPr>
              <w:t>Director, Shenzhen Meteorological Service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22"/>
                <w:szCs w:val="22"/>
                <w:lang w:val="en-US" w:eastAsia="zh-CN" w:bidi="ar-SA"/>
              </w:rPr>
            </w:pPr>
            <w:r>
              <w:rPr>
                <w:rFonts w:hint="default" w:ascii="Arial" w:hAnsi="Arial" w:eastAsia="宋体" w:cs="Arial"/>
                <w:lang w:val="en-US" w:eastAsia="zh-CN"/>
              </w:rPr>
              <w:t>Xia MAO</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宋体" w:cs="Arial"/>
                <w:lang w:val="en-US" w:eastAsia="zh-CN"/>
              </w:rPr>
              <w:t>Vice Director, Shenzhen Meteorological Service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32"/>
                <w:szCs w:val="32"/>
                <w:lang w:val="en-US" w:eastAsia="zh-CN" w:bidi="ar-SA"/>
              </w:rPr>
            </w:pPr>
            <w:r>
              <w:rPr>
                <w:rFonts w:hint="default" w:ascii="Arial" w:hAnsi="Arial" w:eastAsia="宋体" w:cs="Arial"/>
                <w:lang w:val="en-US" w:eastAsia="zh-CN"/>
              </w:rPr>
              <w:t>Xiaolin WEI</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宋体" w:cs="Arial"/>
                <w:lang w:val="en-US" w:eastAsia="zh-CN"/>
              </w:rPr>
              <w:t>Senior Engineer, Science and Technology Development Division, Shenzhen Meteorological Service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32"/>
                <w:szCs w:val="32"/>
                <w:lang w:val="en-SG" w:eastAsia="zh-CN" w:bidi="ar-SA"/>
              </w:rPr>
            </w:pPr>
            <w:r>
              <w:rPr>
                <w:rFonts w:hint="default" w:ascii="Arial" w:hAnsi="Arial" w:eastAsia="宋体" w:cs="Arial"/>
                <w:lang w:val="en-US" w:eastAsia="zh-CN"/>
              </w:rPr>
              <w:t>Minghua LI</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宋体" w:cs="Arial"/>
                <w:lang w:val="en-US" w:eastAsia="zh-CN"/>
              </w:rPr>
              <w:t>Vice head, Weather Warning and Forecasting Division, Shenzhen Meteorological Service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22"/>
                <w:szCs w:val="22"/>
                <w:lang w:val="en-US" w:eastAsia="zh-CN" w:bidi="ar-SA"/>
              </w:rPr>
            </w:pPr>
            <w:r>
              <w:rPr>
                <w:rFonts w:hint="default" w:ascii="Arial" w:hAnsi="Arial" w:eastAsia="宋体" w:cs="Arial"/>
                <w:lang w:val="en-US" w:eastAsia="zh-CN"/>
              </w:rPr>
              <w:t xml:space="preserve">Shuting ZHANG </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宋体" w:cs="Arial"/>
                <w:lang w:val="en-US" w:eastAsia="zh-CN"/>
              </w:rPr>
              <w:t>Engineer, Weather Warning and Forecasting Division, Shenzhen Meteorological Service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Borders>
              <w:tl2br w:val="nil"/>
              <w:tr2bl w:val="nil"/>
            </w:tcBorders>
            <w:noWrap w:val="0"/>
            <w:vAlign w:val="center"/>
          </w:tcPr>
          <w:p>
            <w:pPr>
              <w:snapToGrid w:val="0"/>
              <w:spacing w:after="0" w:line="360" w:lineRule="auto"/>
              <w:rPr>
                <w:rFonts w:hint="default" w:ascii="Arial" w:hAnsi="Arial" w:eastAsia="宋体" w:cs="Arial"/>
                <w:lang w:val="en-US" w:eastAsia="zh-CN"/>
              </w:rPr>
            </w:pPr>
            <w:r>
              <w:rPr>
                <w:rFonts w:hint="default" w:ascii="Arial" w:hAnsi="Arial" w:eastAsia="宋体" w:cs="Arial"/>
                <w:b/>
                <w:bCs/>
                <w:sz w:val="32"/>
                <w:szCs w:val="32"/>
                <w:lang w:val="en-US" w:eastAsia="zh-CN"/>
              </w:rPr>
              <w:t>Hong Kong Observatory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22"/>
                <w:szCs w:val="22"/>
                <w:lang w:val="en-SG" w:eastAsia="zh-CN" w:bidi="ar-SA"/>
              </w:rPr>
            </w:pPr>
            <w:r>
              <w:rPr>
                <w:rFonts w:hint="default" w:ascii="Arial" w:hAnsi="Arial" w:eastAsia="宋体" w:cs="Arial"/>
                <w:lang w:val="fr-FR" w:eastAsia="zh-CN"/>
              </w:rPr>
              <w:t>Pak Wai</w:t>
            </w:r>
            <w:r>
              <w:rPr>
                <w:rFonts w:hint="default" w:ascii="Arial" w:hAnsi="Arial" w:eastAsia="宋体" w:cs="Arial"/>
                <w:lang w:val="en-US" w:eastAsia="zh-CN"/>
              </w:rPr>
              <w:t xml:space="preserve"> </w:t>
            </w:r>
            <w:r>
              <w:rPr>
                <w:rFonts w:hint="default" w:ascii="Arial" w:hAnsi="Arial" w:eastAsia="宋体" w:cs="Arial"/>
                <w:lang w:val="fr-FR" w:eastAsia="zh-CN"/>
              </w:rPr>
              <w:t>CHAN</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宋体" w:cs="Arial"/>
                <w:lang w:val="en-US" w:eastAsia="zh-CN"/>
              </w:rPr>
              <w:t>Assistant Director, Hong Kong Observatory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lang w:val="fr-FR" w:eastAsia="zh-CN"/>
              </w:rPr>
            </w:pPr>
            <w:r>
              <w:rPr>
                <w:rFonts w:hint="default" w:ascii="Arial" w:hAnsi="Arial" w:eastAsia="MS Mincho" w:cs="Arial"/>
                <w:lang w:val="fr-FR"/>
              </w:rPr>
              <w:t>Yuen Chung CHENG</w:t>
            </w:r>
          </w:p>
        </w:tc>
        <w:tc>
          <w:tcPr>
            <w:tcW w:w="6663" w:type="dxa"/>
            <w:tcBorders>
              <w:tl2br w:val="nil"/>
              <w:tr2bl w:val="nil"/>
            </w:tcBorders>
            <w:noWrap w:val="0"/>
            <w:vAlign w:val="top"/>
          </w:tcPr>
          <w:p>
            <w:pPr>
              <w:snapToGrid w:val="0"/>
              <w:spacing w:after="0" w:line="360" w:lineRule="auto"/>
              <w:rPr>
                <w:rFonts w:hint="default" w:ascii="Arial" w:hAnsi="Arial" w:eastAsia="宋体" w:cs="Arial"/>
                <w:lang w:val="en-US" w:eastAsia="zh-CN"/>
              </w:rPr>
            </w:pPr>
            <w:r>
              <w:rPr>
                <w:rFonts w:hint="default" w:ascii="Arial" w:hAnsi="Arial" w:eastAsia="宋体" w:cs="Arial"/>
                <w:lang w:val="en-US" w:eastAsia="zh-CN"/>
              </w:rPr>
              <w:t>Acting</w:t>
            </w:r>
            <w:r>
              <w:rPr>
                <w:rFonts w:hint="default" w:ascii="Arial" w:hAnsi="Arial" w:eastAsia="MS Mincho" w:cs="Arial"/>
                <w:lang w:val="en-US"/>
              </w:rPr>
              <w:t xml:space="preserve"> </w:t>
            </w:r>
            <w:r>
              <w:rPr>
                <w:rFonts w:hint="default" w:ascii="Arial" w:hAnsi="Arial" w:eastAsia="宋体" w:cs="Arial"/>
                <w:szCs w:val="20"/>
                <w:lang w:val="en-US"/>
              </w:rPr>
              <w:t>Assistant Director, Hong Kong Observatory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22"/>
                <w:szCs w:val="22"/>
                <w:lang w:val="en-SG" w:eastAsia="zh-CN" w:bidi="ar-SA"/>
              </w:rPr>
            </w:pPr>
            <w:r>
              <w:rPr>
                <w:rFonts w:hint="default" w:ascii="Arial" w:hAnsi="Arial" w:eastAsia="宋体" w:cs="Arial"/>
                <w:lang w:val="en-US" w:eastAsia="zh-CN"/>
              </w:rPr>
              <w:t>Wai KONG</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宋体" w:cs="Arial"/>
                <w:lang w:val="en-US" w:eastAsia="zh-CN"/>
              </w:rPr>
              <w:t>Senior Scientific Officer, Hong Kong Observatory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72" w:type="dxa"/>
            <w:gridSpan w:val="2"/>
            <w:tcBorders>
              <w:tl2br w:val="nil"/>
              <w:tr2bl w:val="nil"/>
            </w:tcBorders>
            <w:noWrap w:val="0"/>
            <w:vAlign w:val="center"/>
          </w:tcPr>
          <w:p>
            <w:pPr>
              <w:snapToGrid w:val="0"/>
              <w:spacing w:after="0" w:line="360" w:lineRule="auto"/>
              <w:rPr>
                <w:rFonts w:hint="default" w:ascii="Arial" w:hAnsi="Arial" w:eastAsia="宋体" w:cs="Arial"/>
                <w:lang w:val="en-US" w:eastAsia="zh-CN"/>
              </w:rPr>
            </w:pPr>
            <w:r>
              <w:rPr>
                <w:rFonts w:hint="default" w:ascii="Arial" w:hAnsi="Arial" w:eastAsia="宋体" w:cs="Arial"/>
                <w:b/>
                <w:bCs/>
                <w:sz w:val="32"/>
                <w:szCs w:val="32"/>
                <w:lang w:val="en-GB" w:eastAsia="ja-JP"/>
              </w:rPr>
              <w:t xml:space="preserve">Macao Meteorological and Geophysical Bureau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22"/>
                <w:szCs w:val="22"/>
                <w:lang w:val="en-US" w:eastAsia="zh-CN" w:bidi="ar-SA"/>
              </w:rPr>
            </w:pPr>
            <w:r>
              <w:rPr>
                <w:rFonts w:hint="default" w:ascii="Arial" w:hAnsi="Arial" w:eastAsia="宋体" w:cs="Arial"/>
                <w:sz w:val="22"/>
                <w:szCs w:val="22"/>
                <w:lang w:val="en-US" w:eastAsia="zh-CN" w:bidi="ar-SA"/>
              </w:rPr>
              <w:t>Tang Iu Man</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default" w:ascii="Arial" w:hAnsi="Arial" w:eastAsia="MS Mincho" w:cs="Arial"/>
                <w:color w:val="auto"/>
                <w:lang w:val="en-US" w:eastAsia="zh-CN"/>
              </w:rPr>
              <w:t xml:space="preserve">Vice Director, </w:t>
            </w:r>
            <w:r>
              <w:rPr>
                <w:rFonts w:hint="default" w:ascii="Arial" w:hAnsi="Arial" w:eastAsia="MS Mincho" w:cs="Arial"/>
                <w:color w:val="auto"/>
                <w:lang w:val="en-GB" w:eastAsia="ja-JP"/>
              </w:rPr>
              <w:t xml:space="preserve">Macao Meteorological and Geophysical Bureau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sz w:val="22"/>
                <w:szCs w:val="22"/>
                <w:lang w:val="en-SG" w:eastAsia="zh-CN" w:bidi="ar-SA"/>
              </w:rPr>
            </w:pPr>
            <w:r>
              <w:rPr>
                <w:rFonts w:hint="default" w:ascii="Arial" w:hAnsi="Arial" w:eastAsia="宋体" w:cs="Arial"/>
                <w:lang w:val="en-US" w:eastAsia="zh-CN"/>
              </w:rPr>
              <w:t>LOK Chan Wa</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bidi="ar-SA"/>
              </w:rPr>
            </w:pPr>
            <w:r>
              <w:rPr>
                <w:rFonts w:hint="eastAsia" w:ascii="Arial" w:hAnsi="Arial" w:eastAsia="宋体" w:cs="Arial"/>
                <w:lang w:val="en-US" w:eastAsia="zh-CN"/>
              </w:rPr>
              <w:t>Chief</w:t>
            </w:r>
            <w:r>
              <w:rPr>
                <w:rFonts w:hint="default" w:ascii="Arial" w:hAnsi="Arial" w:eastAsia="宋体" w:cs="Arial"/>
                <w:lang w:val="en-US" w:eastAsia="zh-CN"/>
              </w:rPr>
              <w:t xml:space="preserve"> of Meteorological Monitoring Center, </w:t>
            </w:r>
            <w:r>
              <w:rPr>
                <w:rFonts w:hint="default" w:ascii="Arial" w:hAnsi="Arial" w:eastAsia="MS Mincho" w:cs="Arial"/>
                <w:color w:val="auto"/>
                <w:lang w:val="en-GB" w:eastAsia="ja-JP"/>
              </w:rPr>
              <w:t xml:space="preserve">Macao Meteorological and Geophysical Bureau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09" w:type="dxa"/>
            <w:tcBorders>
              <w:tl2br w:val="nil"/>
              <w:tr2bl w:val="nil"/>
            </w:tcBorders>
            <w:noWrap w:val="0"/>
            <w:vAlign w:val="center"/>
          </w:tcPr>
          <w:p>
            <w:pPr>
              <w:snapToGrid w:val="0"/>
              <w:spacing w:after="0" w:line="360" w:lineRule="auto"/>
              <w:jc w:val="both"/>
              <w:rPr>
                <w:rFonts w:hint="default" w:ascii="Arial" w:hAnsi="Arial" w:eastAsia="宋体" w:cs="Arial"/>
                <w:lang w:val="en-US" w:eastAsia="zh-CN"/>
              </w:rPr>
            </w:pPr>
            <w:r>
              <w:rPr>
                <w:rFonts w:hint="default" w:ascii="Arial" w:hAnsi="Arial" w:eastAsia="宋体" w:cs="Arial"/>
                <w:lang w:val="en-US" w:eastAsia="zh-CN"/>
              </w:rPr>
              <w:t>Wong Man Chi</w:t>
            </w:r>
          </w:p>
        </w:tc>
        <w:tc>
          <w:tcPr>
            <w:tcW w:w="6663" w:type="dxa"/>
            <w:tcBorders>
              <w:tl2br w:val="nil"/>
              <w:tr2bl w:val="nil"/>
            </w:tcBorders>
            <w:noWrap w:val="0"/>
            <w:vAlign w:val="top"/>
          </w:tcPr>
          <w:p>
            <w:pPr>
              <w:snapToGrid w:val="0"/>
              <w:spacing w:after="0" w:line="360" w:lineRule="auto"/>
              <w:rPr>
                <w:rFonts w:hint="default" w:ascii="Arial" w:hAnsi="Arial" w:eastAsia="宋体" w:cs="Arial"/>
                <w:sz w:val="32"/>
                <w:szCs w:val="32"/>
                <w:lang w:val="en-US" w:eastAsia="zh-CN"/>
              </w:rPr>
            </w:pPr>
            <w:r>
              <w:rPr>
                <w:rFonts w:hint="default" w:ascii="Arial" w:hAnsi="Arial" w:eastAsia="宋体" w:cs="Arial"/>
                <w:lang w:val="en-US" w:eastAsia="zh-CN"/>
              </w:rPr>
              <w:t xml:space="preserve">Technician, </w:t>
            </w:r>
            <w:r>
              <w:rPr>
                <w:rFonts w:hint="default" w:ascii="Arial" w:hAnsi="Arial" w:eastAsia="MS Mincho" w:cs="Arial"/>
                <w:color w:val="auto"/>
                <w:lang w:val="en-GB" w:eastAsia="ja-JP"/>
              </w:rPr>
              <w:t xml:space="preserve">Macao Meteorological and Geophysical Bureau </w:t>
            </w:r>
          </w:p>
        </w:tc>
      </w:tr>
    </w:tbl>
    <w:p>
      <w:pPr>
        <w:spacing w:after="160" w:line="259" w:lineRule="auto"/>
        <w:rPr>
          <w:rFonts w:hint="default" w:ascii="Arial" w:hAnsi="Arial" w:eastAsia="等线" w:cs="Arial"/>
          <w:sz w:val="22"/>
          <w:szCs w:val="22"/>
          <w:lang w:val="en-US" w:eastAsia="zh-CN" w:bidi="ar-SA"/>
        </w:rPr>
      </w:pPr>
    </w:p>
    <w:p>
      <w:pPr>
        <w:rPr>
          <w:rFonts w:hint="default" w:ascii="Arial" w:hAnsi="Arial" w:eastAsia="等线" w:cs="Arial"/>
          <w:lang w:val="en-GB"/>
        </w:rPr>
      </w:pPr>
    </w:p>
    <w:p>
      <w:pPr>
        <w:rPr>
          <w:rFonts w:hint="default" w:ascii="Arial" w:hAnsi="Arial" w:cs="Arial"/>
          <w:sz w:val="24"/>
          <w:szCs w:val="24"/>
        </w:rPr>
      </w:pPr>
    </w:p>
    <w:p>
      <w:pPr>
        <w:adjustRightInd w:val="0"/>
        <w:spacing w:line="360" w:lineRule="exact"/>
        <w:rPr>
          <w:rFonts w:ascii="Times New Roman" w:hAnsi="Times New Roman" w:cs="Times New Roman"/>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PingFang SC">
    <w:altName w:val="宋体"/>
    <w:panose1 w:val="00000000000000000000"/>
    <w:charset w:val="86"/>
    <w:family w:val="swiss"/>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CA9281"/>
    <w:multiLevelType w:val="singleLevel"/>
    <w:tmpl w:val="F0CA9281"/>
    <w:lvl w:ilvl="0" w:tentative="0">
      <w:start w:val="1"/>
      <w:numFmt w:val="decimal"/>
      <w:suff w:val="space"/>
      <w:lvlText w:val="%1."/>
      <w:lvlJc w:val="left"/>
    </w:lvl>
  </w:abstractNum>
  <w:abstractNum w:abstractNumId="1">
    <w:nsid w:val="37CE2B07"/>
    <w:multiLevelType w:val="multilevel"/>
    <w:tmpl w:val="37CE2B0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B80F597"/>
    <w:multiLevelType w:val="singleLevel"/>
    <w:tmpl w:val="6B80F597"/>
    <w:lvl w:ilvl="0" w:tentative="0">
      <w:start w:val="4"/>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3A6D"/>
    <w:rsid w:val="00004689"/>
    <w:rsid w:val="00013818"/>
    <w:rsid w:val="00033C45"/>
    <w:rsid w:val="000431EC"/>
    <w:rsid w:val="000462FA"/>
    <w:rsid w:val="000541B2"/>
    <w:rsid w:val="00066E8B"/>
    <w:rsid w:val="00067B64"/>
    <w:rsid w:val="00077DB4"/>
    <w:rsid w:val="00082F6D"/>
    <w:rsid w:val="00084875"/>
    <w:rsid w:val="00087469"/>
    <w:rsid w:val="0009030E"/>
    <w:rsid w:val="000A1EE4"/>
    <w:rsid w:val="000A4680"/>
    <w:rsid w:val="000B723A"/>
    <w:rsid w:val="000C5EAC"/>
    <w:rsid w:val="000E6169"/>
    <w:rsid w:val="00114E58"/>
    <w:rsid w:val="00117235"/>
    <w:rsid w:val="00130D7F"/>
    <w:rsid w:val="0013330F"/>
    <w:rsid w:val="0013622A"/>
    <w:rsid w:val="00136A7C"/>
    <w:rsid w:val="001447A8"/>
    <w:rsid w:val="00155D38"/>
    <w:rsid w:val="00155FBA"/>
    <w:rsid w:val="00162C93"/>
    <w:rsid w:val="00170BB7"/>
    <w:rsid w:val="00176E9C"/>
    <w:rsid w:val="0019013A"/>
    <w:rsid w:val="0019320C"/>
    <w:rsid w:val="00197341"/>
    <w:rsid w:val="001A4BCD"/>
    <w:rsid w:val="001B5E7A"/>
    <w:rsid w:val="001C17BA"/>
    <w:rsid w:val="001C74D0"/>
    <w:rsid w:val="001D1C90"/>
    <w:rsid w:val="001E0172"/>
    <w:rsid w:val="001E259E"/>
    <w:rsid w:val="001F1E16"/>
    <w:rsid w:val="002004BE"/>
    <w:rsid w:val="002048B4"/>
    <w:rsid w:val="00215E29"/>
    <w:rsid w:val="00222630"/>
    <w:rsid w:val="0022698E"/>
    <w:rsid w:val="002270DB"/>
    <w:rsid w:val="002342A2"/>
    <w:rsid w:val="00234387"/>
    <w:rsid w:val="00237852"/>
    <w:rsid w:val="002455A9"/>
    <w:rsid w:val="00245B88"/>
    <w:rsid w:val="0026309A"/>
    <w:rsid w:val="00270FD0"/>
    <w:rsid w:val="002778BA"/>
    <w:rsid w:val="0028428E"/>
    <w:rsid w:val="00290929"/>
    <w:rsid w:val="0029363C"/>
    <w:rsid w:val="002B7D04"/>
    <w:rsid w:val="002C65FC"/>
    <w:rsid w:val="002D157A"/>
    <w:rsid w:val="002D6D06"/>
    <w:rsid w:val="002E3A6D"/>
    <w:rsid w:val="002E4F13"/>
    <w:rsid w:val="002F1025"/>
    <w:rsid w:val="002F3AF6"/>
    <w:rsid w:val="002F71A5"/>
    <w:rsid w:val="002F7957"/>
    <w:rsid w:val="00306B5F"/>
    <w:rsid w:val="00314EFE"/>
    <w:rsid w:val="00316B97"/>
    <w:rsid w:val="003365C9"/>
    <w:rsid w:val="00341FAE"/>
    <w:rsid w:val="00354CC6"/>
    <w:rsid w:val="00356C38"/>
    <w:rsid w:val="00362473"/>
    <w:rsid w:val="00377602"/>
    <w:rsid w:val="0038744D"/>
    <w:rsid w:val="003C602C"/>
    <w:rsid w:val="003E429D"/>
    <w:rsid w:val="003E5CBF"/>
    <w:rsid w:val="003F00CB"/>
    <w:rsid w:val="00403194"/>
    <w:rsid w:val="00403660"/>
    <w:rsid w:val="004042B4"/>
    <w:rsid w:val="0042533B"/>
    <w:rsid w:val="004262FA"/>
    <w:rsid w:val="004421F0"/>
    <w:rsid w:val="004459E1"/>
    <w:rsid w:val="00446D80"/>
    <w:rsid w:val="00452815"/>
    <w:rsid w:val="00455002"/>
    <w:rsid w:val="00484D6B"/>
    <w:rsid w:val="00491213"/>
    <w:rsid w:val="00494FAA"/>
    <w:rsid w:val="004B3B20"/>
    <w:rsid w:val="004B63B3"/>
    <w:rsid w:val="004C0B54"/>
    <w:rsid w:val="004E30A1"/>
    <w:rsid w:val="004E365F"/>
    <w:rsid w:val="004F66CA"/>
    <w:rsid w:val="00511905"/>
    <w:rsid w:val="00514031"/>
    <w:rsid w:val="00515F32"/>
    <w:rsid w:val="005168C7"/>
    <w:rsid w:val="005347BD"/>
    <w:rsid w:val="00550DA9"/>
    <w:rsid w:val="00561904"/>
    <w:rsid w:val="00570D6D"/>
    <w:rsid w:val="00574162"/>
    <w:rsid w:val="005805EC"/>
    <w:rsid w:val="0059109D"/>
    <w:rsid w:val="00597190"/>
    <w:rsid w:val="005A7487"/>
    <w:rsid w:val="005A7C1F"/>
    <w:rsid w:val="005B71DB"/>
    <w:rsid w:val="005C3BA3"/>
    <w:rsid w:val="005C7716"/>
    <w:rsid w:val="005C7990"/>
    <w:rsid w:val="005D0836"/>
    <w:rsid w:val="005D518E"/>
    <w:rsid w:val="005E1F2F"/>
    <w:rsid w:val="005E235C"/>
    <w:rsid w:val="005E278C"/>
    <w:rsid w:val="005E6D11"/>
    <w:rsid w:val="005F1ACD"/>
    <w:rsid w:val="005F6C5E"/>
    <w:rsid w:val="005F7411"/>
    <w:rsid w:val="00623B32"/>
    <w:rsid w:val="00656916"/>
    <w:rsid w:val="00693BA6"/>
    <w:rsid w:val="00695E80"/>
    <w:rsid w:val="006A68EF"/>
    <w:rsid w:val="006B6455"/>
    <w:rsid w:val="006C15DA"/>
    <w:rsid w:val="006D71B4"/>
    <w:rsid w:val="006F4DF1"/>
    <w:rsid w:val="0070319E"/>
    <w:rsid w:val="00703E33"/>
    <w:rsid w:val="0071367F"/>
    <w:rsid w:val="00726C7E"/>
    <w:rsid w:val="00733AC8"/>
    <w:rsid w:val="007341D7"/>
    <w:rsid w:val="007517DD"/>
    <w:rsid w:val="00762631"/>
    <w:rsid w:val="007747F4"/>
    <w:rsid w:val="007759EC"/>
    <w:rsid w:val="007858EA"/>
    <w:rsid w:val="007B3281"/>
    <w:rsid w:val="007B6850"/>
    <w:rsid w:val="007E2A42"/>
    <w:rsid w:val="007E4F9D"/>
    <w:rsid w:val="007F227D"/>
    <w:rsid w:val="007F4308"/>
    <w:rsid w:val="007F4CAB"/>
    <w:rsid w:val="0081152E"/>
    <w:rsid w:val="00812D65"/>
    <w:rsid w:val="00835E9E"/>
    <w:rsid w:val="00847D89"/>
    <w:rsid w:val="00856F84"/>
    <w:rsid w:val="008645D1"/>
    <w:rsid w:val="00866594"/>
    <w:rsid w:val="00866E3C"/>
    <w:rsid w:val="00873C25"/>
    <w:rsid w:val="00874513"/>
    <w:rsid w:val="00876483"/>
    <w:rsid w:val="008A64F6"/>
    <w:rsid w:val="008D39A8"/>
    <w:rsid w:val="008D4248"/>
    <w:rsid w:val="008F021D"/>
    <w:rsid w:val="00906C10"/>
    <w:rsid w:val="00915DBB"/>
    <w:rsid w:val="00930B52"/>
    <w:rsid w:val="0094207D"/>
    <w:rsid w:val="00956810"/>
    <w:rsid w:val="009571FC"/>
    <w:rsid w:val="00960189"/>
    <w:rsid w:val="009618D7"/>
    <w:rsid w:val="0097288D"/>
    <w:rsid w:val="009772ED"/>
    <w:rsid w:val="00982B4B"/>
    <w:rsid w:val="00987843"/>
    <w:rsid w:val="009A6447"/>
    <w:rsid w:val="009B47F4"/>
    <w:rsid w:val="009B596E"/>
    <w:rsid w:val="009B7C43"/>
    <w:rsid w:val="009B7DF5"/>
    <w:rsid w:val="009C2EF0"/>
    <w:rsid w:val="009C410F"/>
    <w:rsid w:val="009C4541"/>
    <w:rsid w:val="009D215E"/>
    <w:rsid w:val="009D44DA"/>
    <w:rsid w:val="009D52D6"/>
    <w:rsid w:val="00A15C88"/>
    <w:rsid w:val="00A34F01"/>
    <w:rsid w:val="00A3743D"/>
    <w:rsid w:val="00A43384"/>
    <w:rsid w:val="00A4397E"/>
    <w:rsid w:val="00A47249"/>
    <w:rsid w:val="00A52464"/>
    <w:rsid w:val="00A739C2"/>
    <w:rsid w:val="00A745DE"/>
    <w:rsid w:val="00AA0F60"/>
    <w:rsid w:val="00AA39E8"/>
    <w:rsid w:val="00AB18D1"/>
    <w:rsid w:val="00AB5A39"/>
    <w:rsid w:val="00AB6B6A"/>
    <w:rsid w:val="00AB7152"/>
    <w:rsid w:val="00AC6165"/>
    <w:rsid w:val="00AF48A9"/>
    <w:rsid w:val="00B05A1E"/>
    <w:rsid w:val="00B22548"/>
    <w:rsid w:val="00B2283D"/>
    <w:rsid w:val="00B40695"/>
    <w:rsid w:val="00B46337"/>
    <w:rsid w:val="00B519F5"/>
    <w:rsid w:val="00B610D4"/>
    <w:rsid w:val="00B61C0B"/>
    <w:rsid w:val="00B67B19"/>
    <w:rsid w:val="00B77FCD"/>
    <w:rsid w:val="00B82D89"/>
    <w:rsid w:val="00BA1C94"/>
    <w:rsid w:val="00BA376B"/>
    <w:rsid w:val="00BC1FAE"/>
    <w:rsid w:val="00C005A9"/>
    <w:rsid w:val="00C04AC6"/>
    <w:rsid w:val="00C41BB0"/>
    <w:rsid w:val="00C44C36"/>
    <w:rsid w:val="00C7318D"/>
    <w:rsid w:val="00C754DE"/>
    <w:rsid w:val="00C75844"/>
    <w:rsid w:val="00C872D6"/>
    <w:rsid w:val="00C9112A"/>
    <w:rsid w:val="00C92C7C"/>
    <w:rsid w:val="00CA388A"/>
    <w:rsid w:val="00CC1CE9"/>
    <w:rsid w:val="00CD5916"/>
    <w:rsid w:val="00CD621E"/>
    <w:rsid w:val="00CE1818"/>
    <w:rsid w:val="00CF06DF"/>
    <w:rsid w:val="00D0454E"/>
    <w:rsid w:val="00D17672"/>
    <w:rsid w:val="00D1797A"/>
    <w:rsid w:val="00D200B4"/>
    <w:rsid w:val="00D231A1"/>
    <w:rsid w:val="00D342A6"/>
    <w:rsid w:val="00D416D7"/>
    <w:rsid w:val="00D46633"/>
    <w:rsid w:val="00D569C4"/>
    <w:rsid w:val="00D67183"/>
    <w:rsid w:val="00D7002C"/>
    <w:rsid w:val="00D710A4"/>
    <w:rsid w:val="00D72FAD"/>
    <w:rsid w:val="00D776A4"/>
    <w:rsid w:val="00D8493E"/>
    <w:rsid w:val="00D87D6A"/>
    <w:rsid w:val="00D91F2D"/>
    <w:rsid w:val="00DA24BC"/>
    <w:rsid w:val="00DB11EC"/>
    <w:rsid w:val="00DB6FFA"/>
    <w:rsid w:val="00DC1EE0"/>
    <w:rsid w:val="00DC23D4"/>
    <w:rsid w:val="00DE5DA6"/>
    <w:rsid w:val="00E00A9E"/>
    <w:rsid w:val="00E2204A"/>
    <w:rsid w:val="00E31305"/>
    <w:rsid w:val="00E34502"/>
    <w:rsid w:val="00E35239"/>
    <w:rsid w:val="00E37E9D"/>
    <w:rsid w:val="00E413BA"/>
    <w:rsid w:val="00E53075"/>
    <w:rsid w:val="00E60610"/>
    <w:rsid w:val="00E60B59"/>
    <w:rsid w:val="00E63A27"/>
    <w:rsid w:val="00E6764E"/>
    <w:rsid w:val="00E73256"/>
    <w:rsid w:val="00E776A3"/>
    <w:rsid w:val="00E80C6C"/>
    <w:rsid w:val="00E907EB"/>
    <w:rsid w:val="00E92A92"/>
    <w:rsid w:val="00EA2C09"/>
    <w:rsid w:val="00EB09EE"/>
    <w:rsid w:val="00EB0B2B"/>
    <w:rsid w:val="00EB46C2"/>
    <w:rsid w:val="00EB4F2C"/>
    <w:rsid w:val="00ED1DBB"/>
    <w:rsid w:val="00ED2A9E"/>
    <w:rsid w:val="00EF1056"/>
    <w:rsid w:val="00F176FF"/>
    <w:rsid w:val="00F17E8E"/>
    <w:rsid w:val="00F2453A"/>
    <w:rsid w:val="00F345FB"/>
    <w:rsid w:val="00F5209D"/>
    <w:rsid w:val="00F60A21"/>
    <w:rsid w:val="00F60DBF"/>
    <w:rsid w:val="00F640CF"/>
    <w:rsid w:val="00F75487"/>
    <w:rsid w:val="00F77BEA"/>
    <w:rsid w:val="00F800FC"/>
    <w:rsid w:val="00F86266"/>
    <w:rsid w:val="00F97198"/>
    <w:rsid w:val="00FA3629"/>
    <w:rsid w:val="00FB32DD"/>
    <w:rsid w:val="00FE2603"/>
    <w:rsid w:val="0186667D"/>
    <w:rsid w:val="04B26761"/>
    <w:rsid w:val="04D777DA"/>
    <w:rsid w:val="05F06B7E"/>
    <w:rsid w:val="14CE7D43"/>
    <w:rsid w:val="18246955"/>
    <w:rsid w:val="1ED90BA8"/>
    <w:rsid w:val="1F3F411C"/>
    <w:rsid w:val="23CB4495"/>
    <w:rsid w:val="2AC13A1B"/>
    <w:rsid w:val="2AF317E7"/>
    <w:rsid w:val="31784796"/>
    <w:rsid w:val="33193D44"/>
    <w:rsid w:val="388362AE"/>
    <w:rsid w:val="3A974B5F"/>
    <w:rsid w:val="3EF00A4F"/>
    <w:rsid w:val="3F523157"/>
    <w:rsid w:val="416A3FB7"/>
    <w:rsid w:val="44080A74"/>
    <w:rsid w:val="45F5275E"/>
    <w:rsid w:val="46316F92"/>
    <w:rsid w:val="4DDC317A"/>
    <w:rsid w:val="55F45742"/>
    <w:rsid w:val="5AF075BD"/>
    <w:rsid w:val="5C5204C6"/>
    <w:rsid w:val="620A4C53"/>
    <w:rsid w:val="635A613B"/>
    <w:rsid w:val="63990D12"/>
    <w:rsid w:val="72B97FDA"/>
    <w:rsid w:val="753D013E"/>
    <w:rsid w:val="79C770F2"/>
    <w:rsid w:val="7DFB7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semiHidden/>
    <w:qFormat/>
    <w:uiPriority w:val="0"/>
    <w:pPr>
      <w:widowControl/>
      <w:tabs>
        <w:tab w:val="left" w:pos="1134"/>
      </w:tabs>
      <w:spacing w:after="160" w:line="259" w:lineRule="auto"/>
      <w:jc w:val="left"/>
    </w:pPr>
    <w:rPr>
      <w:rFonts w:ascii="Calibri" w:hAnsi="Calibri" w:eastAsia="等线" w:cs="Times New Roman"/>
      <w:kern w:val="0"/>
      <w:sz w:val="22"/>
      <w:lang w:val="en-GB"/>
    </w:rPr>
  </w:style>
  <w:style w:type="paragraph" w:styleId="5">
    <w:name w:val="Normal (Web)"/>
    <w:basedOn w:val="1"/>
    <w:semiHidden/>
    <w:unhideWhenUsed/>
    <w:uiPriority w:val="99"/>
    <w:rPr>
      <w:rFonts w:ascii="Times New Roman" w:hAnsi="Times New Roman" w:cs="Times New Roman"/>
      <w:sz w:val="24"/>
      <w:szCs w:val="24"/>
    </w:rPr>
  </w:style>
  <w:style w:type="table" w:styleId="7">
    <w:name w:val="Table Grid"/>
    <w:basedOn w:val="6"/>
    <w:qFormat/>
    <w:uiPriority w:val="59"/>
    <w:pPr>
      <w:spacing w:after="0" w:line="240" w:lineRule="auto"/>
    </w:pPr>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Char"/>
    <w:basedOn w:val="8"/>
    <w:link w:val="3"/>
    <w:uiPriority w:val="99"/>
    <w:rPr>
      <w:sz w:val="18"/>
      <w:szCs w:val="18"/>
    </w:rPr>
  </w:style>
  <w:style w:type="character" w:customStyle="1" w:styleId="11">
    <w:name w:val="页脚 Char"/>
    <w:basedOn w:val="8"/>
    <w:link w:val="2"/>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2639</Words>
  <Characters>15045</Characters>
  <Lines>125</Lines>
  <Paragraphs>35</Paragraphs>
  <TotalTime>29</TotalTime>
  <ScaleCrop>false</ScaleCrop>
  <LinksUpToDate>false</LinksUpToDate>
  <CharactersWithSpaces>17649</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2021-12-17T09:08:00Z</dcterms:created>
  <dc:creator>北冥 北冥</dc:creator>
  <cp:lastModifiedBy>薯条</cp:lastModifiedBy>
  <dcterms:modified xsi:type="dcterms:W3CDTF">2021-12-20T02:38:39Z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7AFFC0848D434CD58517884216281E81</vt:lpwstr>
  </property>
</Properties>
</file>